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rPr>
          <w:rFonts w:hint="eastAsia" w:eastAsia="宋体"/>
          <w:lang w:eastAsia="zh-CN"/>
        </w:rPr>
      </w:pPr>
      <w:r>
        <w:rPr>
          <w:rFonts w:hint="eastAsia" w:ascii="宋体" w:hAnsi="宋体" w:cs="宋体"/>
          <w:b/>
          <w:color w:val="auto"/>
          <w:highlight w:val="none"/>
          <w:lang w:eastAsia="zh-CN"/>
        </w:rPr>
        <w:t>本项目标的所属行业为</w:t>
      </w:r>
      <w:r>
        <w:rPr>
          <w:rFonts w:hint="eastAsia" w:ascii="宋体" w:hAnsi="宋体" w:cs="宋体"/>
          <w:b/>
          <w:color w:val="auto"/>
          <w:highlight w:val="none"/>
          <w:u w:val="single"/>
          <w:lang w:eastAsia="zh-CN"/>
        </w:rPr>
        <w:t>制造业</w:t>
      </w:r>
    </w:p>
    <w:p>
      <w:pPr>
        <w:pageBreakBefore w:val="0"/>
        <w:kinsoku/>
        <w:overflowPunct/>
        <w:topLinePunct w:val="0"/>
        <w:bidi w:val="0"/>
        <w:snapToGrid/>
        <w:spacing w:line="360" w:lineRule="auto"/>
        <w:ind w:firstLine="482" w:firstLineChars="200"/>
        <w:textAlignment w:val="auto"/>
        <w:rPr>
          <w:rFonts w:hint="eastAsia" w:ascii="宋体" w:hAnsi="宋体" w:eastAsia="宋体" w:cs="宋体"/>
          <w:b/>
          <w:bCs/>
          <w:color w:val="auto"/>
          <w:sz w:val="24"/>
          <w:highlight w:val="none"/>
        </w:rPr>
      </w:pPr>
      <w:bookmarkStart w:id="0" w:name="_Toc28505"/>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项目概况</w:t>
      </w:r>
    </w:p>
    <w:p>
      <w:pPr>
        <w:pageBreakBefore w:val="0"/>
        <w:numPr>
          <w:ilvl w:val="0"/>
          <w:numId w:val="1"/>
        </w:numPr>
        <w:kinsoku/>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了落实《关于持久性有机污染物的斯德哥尔摩公约》的履约要求，推动我国消防行业PFOS物质的淘汰与替代工作的开展，构建我国消防行业持久性有机污染物监测平台，根据2021年中央级科学事业单位修缮购置专项项目“灭火剂中持久性有机污染物筛查平台的购建”的安排，采购液相色谱-四级杆飞行时间质谱联用仪（LC/Q-TOF）一台包括超高效液相色谱仪主机、四级杆飞行时间质谱仪主机、操作软件、数据库及电脑，以及其它配套材料和安装调试。</w:t>
      </w:r>
    </w:p>
    <w:p>
      <w:pPr>
        <w:pageBreakBefore w:val="0"/>
        <w:numPr>
          <w:ilvl w:val="0"/>
          <w:numId w:val="1"/>
        </w:numPr>
        <w:kinsoku/>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为了满足消防行业持久性有机污染物监测平台项目对测试精密度、准确度和可靠性的要求，</w:t>
      </w:r>
      <w:r>
        <w:rPr>
          <w:rFonts w:hint="eastAsia" w:ascii="宋体" w:hAnsi="宋体" w:eastAsia="宋体" w:cs="宋体"/>
          <w:color w:val="auto"/>
          <w:sz w:val="24"/>
          <w:highlight w:val="none"/>
        </w:rPr>
        <w:t>经财政部审批，</w:t>
      </w:r>
      <w:r>
        <w:rPr>
          <w:rFonts w:hint="eastAsia" w:ascii="宋体" w:hAnsi="宋体" w:cs="宋体"/>
          <w:color w:val="auto"/>
          <w:sz w:val="24"/>
          <w:highlight w:val="none"/>
          <w:lang w:eastAsia="zh-CN"/>
        </w:rPr>
        <w:t>本项目接受</w:t>
      </w:r>
      <w:r>
        <w:rPr>
          <w:rFonts w:hint="eastAsia" w:ascii="宋体" w:hAnsi="宋体" w:eastAsia="宋体" w:cs="宋体"/>
          <w:color w:val="auto"/>
          <w:sz w:val="24"/>
          <w:highlight w:val="none"/>
        </w:rPr>
        <w:t>进口</w:t>
      </w:r>
      <w:r>
        <w:rPr>
          <w:rFonts w:hint="eastAsia" w:ascii="宋体" w:hAnsi="宋体" w:cs="宋体"/>
          <w:color w:val="auto"/>
          <w:sz w:val="24"/>
          <w:highlight w:val="none"/>
          <w:lang w:eastAsia="zh-CN"/>
        </w:rPr>
        <w:t>产品投标</w:t>
      </w:r>
      <w:r>
        <w:rPr>
          <w:rFonts w:hint="eastAsia" w:ascii="宋体" w:hAnsi="宋体" w:eastAsia="宋体" w:cs="宋体"/>
          <w:color w:val="auto"/>
          <w:sz w:val="24"/>
          <w:highlight w:val="none"/>
        </w:rPr>
        <w:t>。</w:t>
      </w:r>
    </w:p>
    <w:p>
      <w:pPr>
        <w:pageBreakBefore w:val="0"/>
        <w:kinsoku/>
        <w:overflowPunct/>
        <w:topLinePunct w:val="0"/>
        <w:bidi w:val="0"/>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（二）</w:t>
      </w:r>
      <w:r>
        <w:rPr>
          <w:rFonts w:hint="eastAsia" w:ascii="宋体" w:hAnsi="宋体" w:eastAsia="宋体" w:cs="宋体"/>
          <w:b/>
          <w:bCs/>
          <w:color w:val="auto"/>
          <w:sz w:val="24"/>
          <w:highlight w:val="none"/>
        </w:rPr>
        <w:t>采购清单</w:t>
      </w:r>
    </w:p>
    <w:p>
      <w:pPr>
        <w:numPr>
          <w:ilvl w:val="0"/>
          <w:numId w:val="2"/>
        </w:numPr>
        <w:ind w:firstLine="480" w:firstLineChars="200"/>
        <w:rPr>
          <w:rFonts w:ascii="宋体" w:hAnsi="宋体" w:cs="宋体"/>
          <w:highlight w:val="none"/>
        </w:rPr>
      </w:pPr>
      <w:r>
        <w:rPr>
          <w:rFonts w:hint="eastAsia" w:ascii="宋体" w:hAnsi="宋体" w:cs="宋体"/>
          <w:highlight w:val="none"/>
        </w:rPr>
        <w:t>超高效液相色谱仪</w:t>
      </w:r>
      <w:r>
        <w:rPr>
          <w:rFonts w:hint="eastAsia" w:ascii="宋体" w:hAnsi="宋体" w:cs="宋体"/>
          <w:highlight w:val="none"/>
          <w:lang w:val="en-US" w:eastAsia="zh-CN"/>
        </w:rPr>
        <w:t>1套；</w:t>
      </w:r>
    </w:p>
    <w:p>
      <w:pPr>
        <w:numPr>
          <w:ilvl w:val="0"/>
          <w:numId w:val="2"/>
        </w:numPr>
        <w:ind w:firstLine="480" w:firstLineChars="200"/>
        <w:rPr>
          <w:rFonts w:ascii="宋体" w:hAnsi="宋体" w:cs="宋体"/>
          <w:highlight w:val="none"/>
        </w:rPr>
      </w:pPr>
      <w:r>
        <w:rPr>
          <w:rFonts w:hint="eastAsia" w:ascii="宋体" w:hAnsi="宋体" w:cs="宋体"/>
          <w:highlight w:val="none"/>
        </w:rPr>
        <w:t>四级杆飞行时间质谱仪</w:t>
      </w:r>
      <w:r>
        <w:rPr>
          <w:rFonts w:hint="eastAsia" w:ascii="宋体" w:hAnsi="宋体" w:cs="宋体"/>
          <w:highlight w:val="none"/>
          <w:lang w:val="en-US" w:eastAsia="zh-CN"/>
        </w:rPr>
        <w:t>1套；</w:t>
      </w:r>
    </w:p>
    <w:p>
      <w:pPr>
        <w:numPr>
          <w:ilvl w:val="0"/>
          <w:numId w:val="2"/>
        </w:numPr>
        <w:ind w:firstLine="480" w:firstLineChars="200"/>
        <w:rPr>
          <w:rFonts w:ascii="宋体" w:hAnsi="宋体" w:cs="宋体"/>
          <w:highlight w:val="none"/>
        </w:rPr>
      </w:pPr>
      <w:r>
        <w:rPr>
          <w:rFonts w:hint="eastAsia" w:ascii="宋体" w:hAnsi="宋体" w:cs="宋体"/>
          <w:highlight w:val="none"/>
        </w:rPr>
        <w:t>氮气发生器1台</w:t>
      </w:r>
      <w:r>
        <w:rPr>
          <w:rFonts w:hint="eastAsia" w:ascii="宋体" w:hAnsi="宋体" w:cs="宋体"/>
          <w:highlight w:val="none"/>
          <w:lang w:eastAsia="zh-CN"/>
        </w:rPr>
        <w:t>；</w:t>
      </w:r>
    </w:p>
    <w:p>
      <w:pPr>
        <w:numPr>
          <w:ilvl w:val="0"/>
          <w:numId w:val="2"/>
        </w:numPr>
        <w:ind w:firstLine="480" w:firstLineChars="200"/>
        <w:rPr>
          <w:rFonts w:ascii="宋体" w:hAnsi="宋体" w:cs="宋体"/>
          <w:highlight w:val="none"/>
        </w:rPr>
      </w:pPr>
      <w:r>
        <w:rPr>
          <w:rFonts w:hint="eastAsia" w:ascii="宋体" w:hAnsi="宋体" w:cs="宋体"/>
          <w:highlight w:val="none"/>
        </w:rPr>
        <w:t>真空机械泵1台</w:t>
      </w:r>
      <w:r>
        <w:rPr>
          <w:rFonts w:hint="eastAsia" w:ascii="宋体" w:hAnsi="宋体" w:cs="宋体"/>
          <w:highlight w:val="none"/>
          <w:lang w:eastAsia="zh-CN"/>
        </w:rPr>
        <w:t>；</w:t>
      </w:r>
    </w:p>
    <w:p>
      <w:pPr>
        <w:numPr>
          <w:ilvl w:val="0"/>
          <w:numId w:val="2"/>
        </w:numPr>
        <w:ind w:firstLine="480" w:firstLineChars="200"/>
        <w:rPr>
          <w:rFonts w:ascii="宋体" w:hAnsi="宋体" w:cs="宋体"/>
          <w:highlight w:val="none"/>
        </w:rPr>
      </w:pPr>
      <w:r>
        <w:rPr>
          <w:rFonts w:hint="eastAsia" w:ascii="宋体" w:hAnsi="宋体" w:cs="宋体"/>
          <w:highlight w:val="none"/>
        </w:rPr>
        <w:t>电脑主机1台</w:t>
      </w:r>
      <w:r>
        <w:rPr>
          <w:rFonts w:hint="eastAsia" w:ascii="宋体" w:hAnsi="宋体" w:cs="宋体"/>
          <w:highlight w:val="none"/>
          <w:lang w:eastAsia="zh-CN"/>
        </w:rPr>
        <w:t>；</w:t>
      </w:r>
    </w:p>
    <w:p>
      <w:pPr>
        <w:numPr>
          <w:ilvl w:val="0"/>
          <w:numId w:val="2"/>
        </w:numPr>
        <w:ind w:firstLine="480" w:firstLineChars="200"/>
        <w:rPr>
          <w:rFonts w:ascii="宋体" w:hAnsi="宋体" w:cs="宋体"/>
          <w:highlight w:val="none"/>
        </w:rPr>
      </w:pPr>
      <w:r>
        <w:rPr>
          <w:rFonts w:hint="eastAsia" w:ascii="宋体" w:hAnsi="宋体" w:cs="宋体"/>
          <w:highlight w:val="none"/>
          <w:lang w:eastAsia="zh-CN"/>
        </w:rPr>
        <w:t>数据采集</w:t>
      </w:r>
      <w:r>
        <w:rPr>
          <w:rFonts w:hint="eastAsia" w:ascii="宋体" w:hAnsi="宋体" w:eastAsia="宋体" w:cs="宋体"/>
          <w:highlight w:val="none"/>
        </w:rPr>
        <w:t>软件1套</w:t>
      </w:r>
      <w:r>
        <w:rPr>
          <w:rFonts w:hint="eastAsia" w:ascii="宋体" w:hAnsi="宋体" w:cs="宋体"/>
          <w:highlight w:val="none"/>
          <w:lang w:eastAsia="zh-CN"/>
        </w:rPr>
        <w:t>，数据分析软件</w:t>
      </w:r>
      <w:r>
        <w:rPr>
          <w:rFonts w:hint="eastAsia" w:ascii="宋体" w:hAnsi="宋体" w:cs="宋体"/>
          <w:highlight w:val="none"/>
          <w:lang w:val="en-US" w:eastAsia="zh-CN"/>
        </w:rPr>
        <w:t>1套；</w:t>
      </w:r>
    </w:p>
    <w:p>
      <w:pPr>
        <w:numPr>
          <w:ilvl w:val="0"/>
          <w:numId w:val="2"/>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数据库</w:t>
      </w:r>
      <w:r>
        <w:rPr>
          <w:rFonts w:hint="eastAsia" w:ascii="宋体" w:hAnsi="宋体" w:cs="宋体"/>
          <w:highlight w:val="none"/>
          <w:lang w:eastAsia="zh-CN"/>
        </w:rPr>
        <w:t>不少于</w:t>
      </w:r>
      <w:r>
        <w:rPr>
          <w:rFonts w:hint="eastAsia" w:ascii="宋体" w:hAnsi="宋体" w:cs="宋体"/>
          <w:highlight w:val="none"/>
          <w:lang w:val="en-US" w:eastAsia="zh-CN"/>
        </w:rPr>
        <w:t>1套；</w:t>
      </w:r>
    </w:p>
    <w:p>
      <w:pPr>
        <w:numPr>
          <w:ilvl w:val="0"/>
          <w:numId w:val="2"/>
        </w:numPr>
        <w:ind w:firstLine="480" w:firstLineChars="200"/>
        <w:rPr>
          <w:rFonts w:ascii="宋体" w:hAnsi="宋体" w:cs="宋体"/>
          <w:highlight w:val="none"/>
        </w:rPr>
      </w:pPr>
      <w:r>
        <w:rPr>
          <w:rFonts w:hint="eastAsia" w:ascii="宋体" w:hAnsi="宋体" w:cs="宋体"/>
          <w:highlight w:val="none"/>
          <w:lang w:val="en-US" w:eastAsia="zh-CN"/>
        </w:rPr>
        <w:t>质谱组学数据处理软件1套；</w:t>
      </w:r>
    </w:p>
    <w:p>
      <w:pPr>
        <w:pageBreakBefore w:val="0"/>
        <w:numPr>
          <w:ilvl w:val="0"/>
          <w:numId w:val="2"/>
        </w:numPr>
        <w:kinsoku/>
        <w:overflowPunct/>
        <w:topLinePunct w:val="0"/>
        <w:bidi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cs="宋体"/>
          <w:highlight w:val="none"/>
        </w:rPr>
        <w:t>常用耗材</w:t>
      </w:r>
      <w:r>
        <w:rPr>
          <w:rFonts w:hint="eastAsia" w:ascii="宋体" w:hAnsi="宋体" w:cs="宋体"/>
          <w:highlight w:val="none"/>
          <w:lang w:val="en-US" w:eastAsia="zh-CN"/>
        </w:rPr>
        <w:t>1批，包括</w:t>
      </w:r>
      <w:r>
        <w:rPr>
          <w:rFonts w:hint="eastAsia" w:ascii="宋体" w:hAnsi="宋体" w:eastAsia="宋体" w:cs="宋体"/>
          <w:highlight w:val="none"/>
        </w:rPr>
        <w:t>超高效色谱柱</w:t>
      </w:r>
      <w:r>
        <w:rPr>
          <w:rFonts w:hint="eastAsia" w:ascii="宋体" w:hAnsi="宋体" w:cs="宋体"/>
          <w:highlight w:val="none"/>
          <w:lang w:eastAsia="zh-CN"/>
        </w:rPr>
        <w:t>（</w:t>
      </w:r>
      <w:r>
        <w:rPr>
          <w:rFonts w:hint="eastAsia" w:ascii="宋体" w:hAnsi="宋体" w:eastAsia="宋体" w:cs="宋体"/>
          <w:highlight w:val="none"/>
        </w:rPr>
        <w:t>EC-C18，2.1×100mm，2.7μm</w:t>
      </w:r>
      <w:r>
        <w:rPr>
          <w:rFonts w:hint="eastAsia" w:ascii="宋体" w:hAnsi="宋体" w:cs="宋体"/>
          <w:highlight w:val="none"/>
          <w:lang w:eastAsia="zh-CN"/>
        </w:rPr>
        <w:t>）</w:t>
      </w:r>
      <w:r>
        <w:rPr>
          <w:rFonts w:hint="eastAsia" w:ascii="宋体" w:hAnsi="宋体" w:eastAsia="宋体" w:cs="宋体"/>
          <w:highlight w:val="none"/>
        </w:rPr>
        <w:t>3根</w:t>
      </w:r>
      <w:r>
        <w:rPr>
          <w:rFonts w:hint="eastAsia" w:ascii="宋体" w:hAnsi="宋体" w:cs="宋体"/>
          <w:highlight w:val="none"/>
          <w:lang w:eastAsia="zh-CN"/>
        </w:rPr>
        <w:t>、色谱柱（</w:t>
      </w:r>
      <w:r>
        <w:rPr>
          <w:rFonts w:hint="eastAsia" w:ascii="宋体" w:hAnsi="宋体" w:eastAsia="宋体" w:cs="宋体"/>
          <w:highlight w:val="none"/>
        </w:rPr>
        <w:t>RRHD EclipsePlus 95Å C18</w:t>
      </w:r>
      <w:r>
        <w:rPr>
          <w:rFonts w:hint="eastAsia" w:ascii="宋体" w:hAnsi="宋体" w:cs="宋体"/>
          <w:highlight w:val="none"/>
          <w:lang w:val="en-US" w:eastAsia="zh-CN"/>
        </w:rPr>
        <w:t>,</w:t>
      </w:r>
      <w:r>
        <w:rPr>
          <w:rFonts w:hint="eastAsia" w:ascii="宋体" w:hAnsi="宋体" w:eastAsia="宋体" w:cs="宋体"/>
          <w:highlight w:val="none"/>
        </w:rPr>
        <w:t>2.1x100mm</w:t>
      </w:r>
      <w:r>
        <w:rPr>
          <w:rFonts w:hint="eastAsia" w:ascii="宋体" w:hAnsi="宋体" w:cs="宋体"/>
          <w:highlight w:val="none"/>
          <w:lang w:val="en-US" w:eastAsia="zh-CN"/>
        </w:rPr>
        <w:t>,</w:t>
      </w:r>
      <w:r>
        <w:rPr>
          <w:rFonts w:hint="eastAsia" w:ascii="宋体" w:hAnsi="宋体" w:eastAsia="宋体" w:cs="宋体"/>
          <w:highlight w:val="none"/>
        </w:rPr>
        <w:t>1.8µ</w:t>
      </w:r>
      <w:r>
        <w:rPr>
          <w:rFonts w:hint="eastAsia" w:ascii="宋体" w:hAnsi="宋体" w:cs="宋体"/>
          <w:highlight w:val="none"/>
          <w:lang w:val="en-US" w:eastAsia="zh-CN"/>
        </w:rPr>
        <w:t>m</w:t>
      </w:r>
      <w:r>
        <w:rPr>
          <w:rFonts w:hint="eastAsia" w:ascii="宋体" w:hAnsi="宋体" w:cs="宋体"/>
          <w:highlight w:val="none"/>
          <w:lang w:eastAsia="zh-CN"/>
        </w:rPr>
        <w:t>）</w:t>
      </w:r>
      <w:r>
        <w:rPr>
          <w:rFonts w:hint="eastAsia" w:ascii="宋体" w:hAnsi="宋体" w:eastAsia="宋体" w:cs="宋体"/>
          <w:highlight w:val="none"/>
        </w:rPr>
        <w:t>2根</w:t>
      </w:r>
      <w:r>
        <w:rPr>
          <w:rFonts w:hint="eastAsia" w:ascii="宋体" w:hAnsi="宋体" w:cs="宋体"/>
          <w:highlight w:val="none"/>
          <w:lang w:eastAsia="zh-CN"/>
        </w:rPr>
        <w:t>、色谱柱（</w:t>
      </w:r>
      <w:r>
        <w:rPr>
          <w:rFonts w:hint="eastAsia" w:ascii="宋体" w:hAnsi="宋体" w:eastAsia="宋体" w:cs="宋体"/>
          <w:highlight w:val="none"/>
        </w:rPr>
        <w:t>RRHD Extend 80Å C18柱</w:t>
      </w:r>
      <w:r>
        <w:rPr>
          <w:rFonts w:hint="eastAsia" w:ascii="宋体" w:hAnsi="宋体" w:cs="宋体"/>
          <w:highlight w:val="none"/>
          <w:lang w:val="en-US" w:eastAsia="zh-CN"/>
        </w:rPr>
        <w:t>,</w:t>
      </w:r>
      <w:r>
        <w:rPr>
          <w:rFonts w:hint="eastAsia" w:ascii="宋体" w:hAnsi="宋体" w:eastAsia="宋体" w:cs="宋体"/>
          <w:highlight w:val="none"/>
        </w:rPr>
        <w:t>2.1x100mm</w:t>
      </w:r>
      <w:r>
        <w:rPr>
          <w:rFonts w:hint="eastAsia" w:ascii="宋体" w:hAnsi="宋体" w:cs="宋体"/>
          <w:highlight w:val="none"/>
          <w:lang w:val="en-US" w:eastAsia="zh-CN"/>
        </w:rPr>
        <w:t>,</w:t>
      </w:r>
      <w:r>
        <w:rPr>
          <w:rFonts w:hint="eastAsia" w:ascii="宋体" w:hAnsi="宋体" w:eastAsia="宋体" w:cs="宋体"/>
          <w:highlight w:val="none"/>
        </w:rPr>
        <w:t xml:space="preserve">1.8µm </w:t>
      </w:r>
      <w:r>
        <w:rPr>
          <w:rFonts w:hint="eastAsia" w:ascii="宋体" w:hAnsi="宋体" w:cs="宋体"/>
          <w:highlight w:val="none"/>
          <w:lang w:eastAsia="zh-CN"/>
        </w:rPr>
        <w:t>）</w:t>
      </w:r>
      <w:r>
        <w:rPr>
          <w:rFonts w:hint="eastAsia" w:ascii="宋体" w:hAnsi="宋体" w:eastAsia="宋体" w:cs="宋体"/>
          <w:highlight w:val="none"/>
        </w:rPr>
        <w:t>2根</w:t>
      </w:r>
      <w:r>
        <w:rPr>
          <w:rFonts w:hint="eastAsia" w:ascii="宋体" w:hAnsi="宋体" w:cs="宋体"/>
          <w:highlight w:val="none"/>
          <w:lang w:eastAsia="zh-CN"/>
        </w:rPr>
        <w:t>、色谱柱（</w:t>
      </w:r>
      <w:r>
        <w:rPr>
          <w:rFonts w:hint="eastAsia" w:ascii="宋体" w:hAnsi="宋体" w:eastAsia="宋体" w:cs="宋体"/>
          <w:highlight w:val="none"/>
        </w:rPr>
        <w:t>ZORBAX SB-C18柱，2.1x100mm</w:t>
      </w:r>
      <w:r>
        <w:rPr>
          <w:rFonts w:hint="eastAsia" w:ascii="宋体" w:hAnsi="宋体" w:cs="宋体"/>
          <w:highlight w:val="none"/>
          <w:lang w:val="en-US" w:eastAsia="zh-CN"/>
        </w:rPr>
        <w:t>,</w:t>
      </w:r>
      <w:r>
        <w:rPr>
          <w:rFonts w:hint="eastAsia" w:ascii="宋体" w:hAnsi="宋体" w:eastAsia="宋体" w:cs="宋体"/>
          <w:highlight w:val="none"/>
        </w:rPr>
        <w:t>1.8µm</w:t>
      </w:r>
      <w:r>
        <w:rPr>
          <w:rFonts w:hint="eastAsia" w:ascii="宋体" w:hAnsi="宋体" w:cs="宋体"/>
          <w:highlight w:val="none"/>
          <w:lang w:eastAsia="zh-CN"/>
        </w:rPr>
        <w:t>）</w:t>
      </w:r>
      <w:r>
        <w:rPr>
          <w:rFonts w:hint="eastAsia" w:ascii="宋体" w:hAnsi="宋体" w:eastAsia="宋体" w:cs="宋体"/>
          <w:highlight w:val="none"/>
        </w:rPr>
        <w:t>4根</w:t>
      </w:r>
      <w:r>
        <w:rPr>
          <w:rFonts w:hint="eastAsia" w:ascii="宋体" w:hAnsi="宋体" w:cs="宋体"/>
          <w:highlight w:val="none"/>
          <w:lang w:eastAsia="zh-CN"/>
        </w:rPr>
        <w:t>、</w:t>
      </w:r>
      <w:r>
        <w:rPr>
          <w:rFonts w:hint="eastAsia" w:ascii="宋体" w:hAnsi="宋体" w:eastAsia="宋体" w:cs="宋体"/>
          <w:highlight w:val="none"/>
        </w:rPr>
        <w:t>色谱柱</w:t>
      </w:r>
      <w:r>
        <w:rPr>
          <w:rFonts w:hint="eastAsia" w:ascii="宋体" w:hAnsi="宋体" w:cs="宋体"/>
          <w:highlight w:val="none"/>
          <w:lang w:eastAsia="zh-CN"/>
        </w:rPr>
        <w:t>（</w:t>
      </w:r>
      <w:r>
        <w:rPr>
          <w:rFonts w:hint="eastAsia" w:ascii="宋体" w:hAnsi="宋体" w:eastAsia="宋体" w:cs="宋体"/>
          <w:highlight w:val="none"/>
        </w:rPr>
        <w:t>RRHD EclipsePlus 95Å C18</w:t>
      </w:r>
      <w:r>
        <w:rPr>
          <w:rFonts w:hint="eastAsia" w:ascii="宋体" w:hAnsi="宋体" w:cs="宋体"/>
          <w:highlight w:val="none"/>
          <w:lang w:val="en-US" w:eastAsia="zh-CN"/>
        </w:rPr>
        <w:t>,</w:t>
      </w:r>
      <w:r>
        <w:rPr>
          <w:rFonts w:hint="eastAsia" w:ascii="宋体" w:hAnsi="宋体" w:eastAsia="宋体" w:cs="宋体"/>
          <w:highlight w:val="none"/>
        </w:rPr>
        <w:t>2.1x50mm</w:t>
      </w:r>
      <w:r>
        <w:rPr>
          <w:rFonts w:hint="eastAsia" w:ascii="宋体" w:hAnsi="宋体" w:cs="宋体"/>
          <w:highlight w:val="none"/>
          <w:lang w:val="en-US" w:eastAsia="zh-CN"/>
        </w:rPr>
        <w:t>,</w:t>
      </w:r>
      <w:r>
        <w:rPr>
          <w:rFonts w:hint="eastAsia" w:ascii="宋体" w:hAnsi="宋体" w:eastAsia="宋体" w:cs="宋体"/>
          <w:highlight w:val="none"/>
        </w:rPr>
        <w:t>1.8µ</w:t>
      </w:r>
      <w:r>
        <w:rPr>
          <w:rFonts w:hint="eastAsia" w:ascii="宋体" w:hAnsi="宋体" w:cs="宋体"/>
          <w:highlight w:val="none"/>
          <w:lang w:eastAsia="zh-CN"/>
        </w:rPr>
        <w:t>）</w:t>
      </w:r>
      <w:r>
        <w:rPr>
          <w:rFonts w:hint="eastAsia" w:ascii="宋体" w:hAnsi="宋体" w:eastAsia="宋体" w:cs="宋体"/>
          <w:highlight w:val="none"/>
        </w:rPr>
        <w:t>2根</w:t>
      </w:r>
      <w:r>
        <w:rPr>
          <w:rFonts w:hint="eastAsia" w:ascii="宋体" w:hAnsi="宋体" w:cs="宋体"/>
          <w:highlight w:val="none"/>
          <w:lang w:eastAsia="zh-CN"/>
        </w:rPr>
        <w:t>、</w:t>
      </w:r>
      <w:r>
        <w:rPr>
          <w:rFonts w:hint="eastAsia" w:ascii="宋体" w:hAnsi="宋体" w:eastAsia="宋体" w:cs="宋体"/>
          <w:highlight w:val="none"/>
        </w:rPr>
        <w:t>保护柱</w:t>
      </w:r>
      <w:r>
        <w:rPr>
          <w:rFonts w:hint="eastAsia" w:ascii="宋体" w:hAnsi="宋体" w:cs="宋体"/>
          <w:highlight w:val="none"/>
          <w:lang w:eastAsia="zh-CN"/>
        </w:rPr>
        <w:t>（</w:t>
      </w:r>
      <w:r>
        <w:rPr>
          <w:rFonts w:hint="eastAsia" w:ascii="宋体" w:hAnsi="宋体" w:eastAsia="宋体" w:cs="宋体"/>
          <w:highlight w:val="none"/>
        </w:rPr>
        <w:t>ZORBAX Eclipse Plus C18</w:t>
      </w:r>
      <w:r>
        <w:rPr>
          <w:rFonts w:hint="eastAsia" w:ascii="宋体" w:hAnsi="宋体" w:cs="宋体"/>
          <w:highlight w:val="none"/>
          <w:lang w:val="en-US" w:eastAsia="zh-CN"/>
        </w:rPr>
        <w:t>,</w:t>
      </w:r>
      <w:r>
        <w:rPr>
          <w:rFonts w:hint="eastAsia" w:ascii="宋体" w:hAnsi="宋体" w:eastAsia="宋体" w:cs="宋体"/>
          <w:highlight w:val="none"/>
        </w:rPr>
        <w:t>2.1x5mm</w:t>
      </w:r>
      <w:r>
        <w:rPr>
          <w:rFonts w:hint="eastAsia" w:ascii="宋体" w:hAnsi="宋体" w:cs="宋体"/>
          <w:highlight w:val="none"/>
          <w:lang w:eastAsia="zh-CN"/>
        </w:rPr>
        <w:t>）</w:t>
      </w:r>
      <w:r>
        <w:rPr>
          <w:rFonts w:hint="eastAsia" w:ascii="宋体" w:hAnsi="宋体" w:eastAsia="宋体" w:cs="宋体"/>
          <w:highlight w:val="none"/>
        </w:rPr>
        <w:t>2根</w:t>
      </w:r>
      <w:r>
        <w:rPr>
          <w:rFonts w:hint="eastAsia" w:ascii="宋体" w:hAnsi="宋体" w:cs="宋体"/>
          <w:highlight w:val="none"/>
          <w:lang w:eastAsia="zh-CN"/>
        </w:rPr>
        <w:t>、</w:t>
      </w:r>
      <w:r>
        <w:rPr>
          <w:rFonts w:hint="eastAsia" w:ascii="宋体" w:hAnsi="宋体" w:eastAsia="宋体" w:cs="宋体"/>
          <w:highlight w:val="none"/>
        </w:rPr>
        <w:t>泵油1瓶</w:t>
      </w:r>
      <w:r>
        <w:rPr>
          <w:rFonts w:hint="eastAsia" w:ascii="宋体" w:hAnsi="宋体" w:cs="宋体"/>
          <w:highlight w:val="none"/>
          <w:lang w:eastAsia="zh-CN"/>
        </w:rPr>
        <w:t>、</w:t>
      </w:r>
      <w:r>
        <w:rPr>
          <w:rFonts w:hint="eastAsia" w:ascii="宋体" w:hAnsi="宋体" w:eastAsia="宋体" w:cs="宋体"/>
          <w:highlight w:val="none"/>
        </w:rPr>
        <w:t>离子进样管2个</w:t>
      </w:r>
      <w:r>
        <w:rPr>
          <w:rFonts w:hint="eastAsia" w:ascii="宋体" w:hAnsi="宋体" w:cs="宋体"/>
          <w:highlight w:val="none"/>
          <w:lang w:eastAsia="zh-CN"/>
        </w:rPr>
        <w:t>、</w:t>
      </w:r>
      <w:r>
        <w:rPr>
          <w:rFonts w:hint="eastAsia" w:ascii="宋体" w:hAnsi="宋体" w:eastAsia="宋体" w:cs="宋体"/>
          <w:highlight w:val="none"/>
        </w:rPr>
        <w:t>气体过滤器-氦气2个</w:t>
      </w:r>
      <w:r>
        <w:rPr>
          <w:rFonts w:hint="eastAsia" w:ascii="宋体" w:hAnsi="宋体" w:cs="宋体"/>
          <w:highlight w:val="none"/>
          <w:lang w:eastAsia="zh-CN"/>
        </w:rPr>
        <w:t>、</w:t>
      </w:r>
      <w:r>
        <w:rPr>
          <w:rFonts w:hint="eastAsia" w:ascii="宋体" w:hAnsi="宋体" w:eastAsia="宋体" w:cs="宋体"/>
          <w:highlight w:val="none"/>
        </w:rPr>
        <w:t>气体过滤器-氮气2个</w:t>
      </w:r>
      <w:r>
        <w:rPr>
          <w:rFonts w:hint="eastAsia" w:ascii="宋体" w:hAnsi="宋体" w:cs="宋体"/>
          <w:highlight w:val="none"/>
          <w:lang w:eastAsia="zh-CN"/>
        </w:rPr>
        <w:t>、</w:t>
      </w:r>
      <w:r>
        <w:rPr>
          <w:rFonts w:hint="eastAsia" w:ascii="宋体" w:hAnsi="宋体" w:eastAsia="宋体" w:cs="宋体"/>
          <w:highlight w:val="none"/>
        </w:rPr>
        <w:t>滤芯5包</w:t>
      </w:r>
      <w:r>
        <w:rPr>
          <w:rFonts w:hint="eastAsia" w:ascii="宋体" w:hAnsi="宋体" w:cs="宋体"/>
          <w:highlight w:val="none"/>
          <w:lang w:eastAsia="zh-CN"/>
        </w:rPr>
        <w:t>、</w:t>
      </w:r>
      <w:r>
        <w:rPr>
          <w:rFonts w:hint="eastAsia" w:ascii="宋体" w:hAnsi="宋体" w:eastAsia="宋体" w:cs="宋体"/>
          <w:highlight w:val="none"/>
        </w:rPr>
        <w:t>柱塞杆密封垫3包</w:t>
      </w:r>
      <w:r>
        <w:rPr>
          <w:rFonts w:hint="eastAsia" w:ascii="宋体" w:hAnsi="宋体" w:cs="宋体"/>
          <w:highlight w:val="none"/>
          <w:lang w:eastAsia="zh-CN"/>
        </w:rPr>
        <w:t>、</w:t>
      </w:r>
      <w:r>
        <w:rPr>
          <w:rFonts w:hint="eastAsia" w:ascii="宋体" w:hAnsi="宋体" w:eastAsia="宋体" w:cs="宋体"/>
          <w:highlight w:val="none"/>
        </w:rPr>
        <w:t>1/16 英寸手紧接头1包</w:t>
      </w:r>
      <w:r>
        <w:rPr>
          <w:rFonts w:hint="eastAsia" w:ascii="宋体" w:hAnsi="宋体" w:cs="宋体"/>
          <w:highlight w:val="none"/>
          <w:lang w:eastAsia="zh-CN"/>
        </w:rPr>
        <w:t>、</w:t>
      </w:r>
      <w:r>
        <w:rPr>
          <w:rFonts w:hint="eastAsia" w:ascii="宋体" w:hAnsi="宋体" w:eastAsia="宋体" w:cs="宋体"/>
          <w:highlight w:val="none"/>
        </w:rPr>
        <w:t>螺纹口样品瓶及瓶盖10包</w:t>
      </w:r>
      <w:r>
        <w:rPr>
          <w:rFonts w:hint="eastAsia" w:ascii="宋体" w:hAnsi="宋体" w:cs="宋体"/>
          <w:color w:val="auto"/>
          <w:sz w:val="24"/>
          <w:highlight w:val="none"/>
          <w:lang w:eastAsia="zh-CN"/>
        </w:rPr>
        <w:t>。</w:t>
      </w:r>
    </w:p>
    <w:p>
      <w:pPr>
        <w:pageBreakBefore w:val="0"/>
        <w:kinsoku/>
        <w:overflowPunct/>
        <w:topLinePunct w:val="0"/>
        <w:bidi w:val="0"/>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技术参数及功能要求</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900" w:leftChars="0" w:hanging="420" w:firstLineChars="0"/>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工作环境条件</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工作电压：220-240V，单相</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工作温度：15-30度</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相对湿度：&lt;80%</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900" w:leftChars="0" w:hanging="420" w:firstLineChars="0"/>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液相色谱硬件指标</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溶剂输送系统：二元高压梯度泵</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二元高压混合：串联双柱塞往复泵设计，每个泵头有独立马达驱动</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冲程：自动连续可变冲程，设置范围：20~100µL（提供冲程设置参数截图）</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流速精密度：&lt;0.071%RSD</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流速准确度：±1%</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压力脉动：&lt; 1%</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流速范围：0.001-4.5mL/min</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操作压力：0-1280 bar</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梯度组成精密度：&lt;0.15% RSD</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梯度组成准确度：±0.35%</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梯度延迟体积：13μL</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内置真空脱气机</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传动装置：采用精密齿轮传动（若是皮带传动设计需要提供备用泵一套）</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可与实验室现有液相色谱组合完成全二维液相色谱和多中心切割液相色谱应用（若无法满足提供超高压液相色谱一套）。</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自动进样器指标</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进样范围：0.1-20μL增量为0.1μL</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进样精度：&lt; 0.25% RSD</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样品瓶样品容量：≥430位2mL样品瓶，具备三溶剂多次洗针功能</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样品残留：&lt;0.001%</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最大操作压力：1280bar</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自动进样器控温：4-40℃</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半导体柱温箱</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控温范围：4℃ - 100℃</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控温精度：±0.05℃</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控温准确度：±0.5℃</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4.1.2.2独立温度区：≥2 个（单个柱温箱）</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柱容量：色谱柱30cm×4或10cm× 7</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可以内置柱切换阀，最大可实现8根*100mm色谱柱自动切换，可用于多方法开发</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二极管阵列检测器</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波长范围：190-600nm</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二极管个数：1024</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最快采样速率(光谱和色谱)：240Hz</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波长精度：±1nm</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基线噪音：</w:t>
      </w:r>
      <w:r>
        <w:rPr>
          <w:rFonts w:hint="eastAsia" w:asciiTheme="majorEastAsia" w:hAnsiTheme="majorEastAsia" w:eastAsiaTheme="majorEastAsia" w:cstheme="majorEastAsia"/>
          <w:sz w:val="24"/>
          <w:highlight w:val="none"/>
        </w:rPr>
        <w:sym w:font="Symbol" w:char="00B1"/>
      </w:r>
      <w:r>
        <w:rPr>
          <w:rFonts w:hint="eastAsia" w:asciiTheme="majorEastAsia" w:hAnsiTheme="majorEastAsia" w:eastAsiaTheme="majorEastAsia" w:cstheme="majorEastAsia"/>
          <w:sz w:val="24"/>
          <w:highlight w:val="none"/>
        </w:rPr>
        <w:t>0.6</w:t>
      </w:r>
      <w:r>
        <w:rPr>
          <w:rFonts w:hint="eastAsia" w:asciiTheme="majorEastAsia" w:hAnsiTheme="majorEastAsia" w:eastAsiaTheme="majorEastAsia" w:cstheme="majorEastAsia"/>
          <w:sz w:val="24"/>
          <w:highlight w:val="none"/>
        </w:rPr>
        <w:sym w:font="Symbol" w:char="00B4"/>
      </w:r>
      <w:r>
        <w:rPr>
          <w:rFonts w:hint="eastAsia" w:asciiTheme="majorEastAsia" w:hAnsiTheme="majorEastAsia" w:eastAsiaTheme="majorEastAsia" w:cstheme="majorEastAsia"/>
          <w:sz w:val="24"/>
          <w:highlight w:val="none"/>
        </w:rPr>
        <w:t>10</w:t>
      </w:r>
      <w:r>
        <w:rPr>
          <w:rFonts w:hint="eastAsia" w:asciiTheme="majorEastAsia" w:hAnsiTheme="majorEastAsia" w:eastAsiaTheme="majorEastAsia" w:cstheme="majorEastAsia"/>
          <w:sz w:val="24"/>
          <w:highlight w:val="none"/>
          <w:vertAlign w:val="superscript"/>
        </w:rPr>
        <w:t>-6</w:t>
      </w:r>
      <w:r>
        <w:rPr>
          <w:rFonts w:hint="eastAsia" w:asciiTheme="majorEastAsia" w:hAnsiTheme="majorEastAsia" w:eastAsiaTheme="majorEastAsia" w:cstheme="majorEastAsia"/>
          <w:sz w:val="24"/>
          <w:highlight w:val="none"/>
        </w:rPr>
        <w:t xml:space="preserve"> at 230nm</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基线漂移：0.5</w:t>
      </w:r>
      <w:r>
        <w:rPr>
          <w:rFonts w:hint="eastAsia" w:asciiTheme="majorEastAsia" w:hAnsiTheme="majorEastAsia" w:eastAsiaTheme="majorEastAsia" w:cstheme="majorEastAsia"/>
          <w:sz w:val="24"/>
          <w:highlight w:val="none"/>
        </w:rPr>
        <w:sym w:font="Symbol" w:char="00B4"/>
      </w:r>
      <w:r>
        <w:rPr>
          <w:rFonts w:hint="eastAsia" w:asciiTheme="majorEastAsia" w:hAnsiTheme="majorEastAsia" w:eastAsiaTheme="majorEastAsia" w:cstheme="majorEastAsia"/>
          <w:sz w:val="24"/>
          <w:highlight w:val="none"/>
        </w:rPr>
        <w:t>10</w:t>
      </w:r>
      <w:r>
        <w:rPr>
          <w:rFonts w:hint="eastAsia" w:asciiTheme="majorEastAsia" w:hAnsiTheme="majorEastAsia" w:eastAsiaTheme="majorEastAsia" w:cstheme="majorEastAsia"/>
          <w:sz w:val="24"/>
          <w:highlight w:val="none"/>
          <w:vertAlign w:val="superscript"/>
        </w:rPr>
        <w:t>-3</w:t>
      </w:r>
      <w:r>
        <w:rPr>
          <w:rFonts w:hint="eastAsia" w:asciiTheme="majorEastAsia" w:hAnsiTheme="majorEastAsia" w:eastAsiaTheme="majorEastAsia" w:cstheme="majorEastAsia"/>
          <w:sz w:val="24"/>
          <w:highlight w:val="none"/>
        </w:rPr>
        <w:t>AU/h at 254nm</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900" w:leftChars="0" w:hanging="420" w:firstLineChars="0"/>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四极杆-飞行时间质谱指标</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质谱系统与液相色谱系统要求同一厂家，非OEM。</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离子源和进样系统</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独立的双喷雾离子聚焦ESI电离源</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独立的APCI源。如果ESI与APCI是复合源，则加配一个独立的ESI 和一个独立的APCI</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离子源扩展性：Nano Spray离子源和APPI离子源等多种接口，还具备GC-APCI（和GC联机）、SFC（超临界流体色谱）和CE（毛细管电泳）的接口，最大化高分辨质谱的优势。</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离子光学设计：非加热镀层石英毛细管配合八极杆及离子透镜设计，具有抗污染性能，提高离子传输效率同时延长真空系统寿命，清洗离子光学系统无需卸载真空</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离子源扩展性：支持GC-APCI接口以扩展使用气相色谱作为分离手段，并可以与实验室现有气相联机使用。</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参数优化体系</w:t>
      </w:r>
    </w:p>
    <w:p>
      <w:pPr>
        <w:pStyle w:val="5"/>
        <w:keepNext w:val="0"/>
        <w:keepLines w:val="0"/>
        <w:pageBreakBefore w:val="0"/>
        <w:widowControl w:val="0"/>
        <w:numPr>
          <w:ilvl w:val="3"/>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基于粒子群优化算法（PSO）的自动化群调优化体系，提高优化效率，并化合物性质特点为中心进行优化，从而获得最佳检测状态</w:t>
      </w:r>
    </w:p>
    <w:p>
      <w:pPr>
        <w:pStyle w:val="5"/>
        <w:keepNext w:val="0"/>
        <w:keepLines w:val="0"/>
        <w:pageBreakBefore w:val="0"/>
        <w:widowControl w:val="0"/>
        <w:numPr>
          <w:ilvl w:val="3"/>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以化合物为中心的优化技术：根据不同应用领域特点，提供多个质量区间（至少4个区间段）全自动优化技术，量体裁体，满足各种不同领域对灵敏度的特殊要求</w:t>
      </w:r>
    </w:p>
    <w:p>
      <w:pPr>
        <w:pStyle w:val="5"/>
        <w:keepNext w:val="0"/>
        <w:keepLines w:val="0"/>
        <w:pageBreakBefore w:val="0"/>
        <w:widowControl w:val="0"/>
        <w:numPr>
          <w:ilvl w:val="3"/>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仪器多个参数同时优化技术：实现所有参数都达到最优化的状态，从而获得真正的最佳检测状态，避免出现单一参数最优导致性能下降的可能性</w:t>
      </w:r>
    </w:p>
    <w:p>
      <w:pPr>
        <w:pStyle w:val="5"/>
        <w:keepNext w:val="0"/>
        <w:keepLines w:val="0"/>
        <w:pageBreakBefore w:val="0"/>
        <w:widowControl w:val="0"/>
        <w:numPr>
          <w:ilvl w:val="3"/>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特定“不稳定性化合物”参数优化技术：对于分子量较小（MW&lt;250），结构比较脆弱的化合物，采用软件即可自动实现参数优化，无需人工设定，降低仪器操作复杂程度，从而轻松获得方法的最佳灵敏度</w:t>
      </w:r>
      <w:r>
        <w:rPr>
          <w:rFonts w:hint="eastAsia" w:asciiTheme="majorEastAsia" w:hAnsiTheme="majorEastAsia" w:eastAsiaTheme="majorEastAsia" w:cstheme="majorEastAsia"/>
          <w:sz w:val="24"/>
          <w:highlight w:val="none"/>
          <w:lang w:val="de-DE" w:eastAsia="zh-CN"/>
        </w:rPr>
        <w:t>。</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质量分析器</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四极杆：恒温双曲面四极杆，可加热至90</w:t>
      </w:r>
      <w:r>
        <w:rPr>
          <w:rFonts w:hint="eastAsia" w:asciiTheme="majorEastAsia" w:hAnsiTheme="majorEastAsia" w:eastAsiaTheme="majorEastAsia" w:cstheme="majorEastAsia"/>
          <w:sz w:val="24"/>
          <w:highlight w:val="none"/>
        </w:rPr>
        <w:t>℃，终身免清洗</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碰撞池：采用六极杆线性加速设计，可以自行使用软件选择碰撞气的种类（氮气和氩气需均可以在软件中进行设置），提高实验的选择性</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飞行时间管：飞行时间管材质为Invar合金，采用真空双层夹套设计，保证在常规实验环境下质量轴稳定，飞行时间管形变系数&lt; 0.3 ppm/℃</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脉冲发生器温度监控技术：离子加速装置具有动态温度监测及补偿技术，保证所有离子加速能量恒定，以保证最佳质量准确度</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真空系统: 一个大抽速的机械泵和两个独立空气冷却的差分分子涡轮泵。免维护。自动断电保护功能</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检测性能</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采集速率45 spectra/s时，分辨率至少为58000FWHM@m/z 2722</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分辨率：&gt; 30,000 @ 118 m/z，要求在扫描速度在45张谱/s时测定（提供官方网站证明材料并作为验收指标）</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质量准确度：&lt; 0.9 ppm</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灵敏度：柱上1pg 利血平，S/N&gt;1400:1</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质量范围（m/z）：最大可达m/z10000</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动态范围：大于10</w:t>
      </w:r>
      <w:r>
        <w:rPr>
          <w:rFonts w:hint="eastAsia" w:asciiTheme="majorEastAsia" w:hAnsiTheme="majorEastAsia" w:eastAsiaTheme="majorEastAsia" w:cstheme="majorEastAsia"/>
          <w:sz w:val="24"/>
          <w:highlight w:val="none"/>
          <w:vertAlign w:val="superscript"/>
          <w:lang w:val="de-DE"/>
        </w:rPr>
        <w:t>5</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rPr>
        <w:t>采样速度：至少为45 spectra/s</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在线参比校正：双喷离子源实时校正，不接受样品和参比不停切换校正</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lang w:val="de-D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同位素保真度：连续进样10针，以公式(RIA error (%) = 100 × (RIA</w:t>
      </w:r>
      <w:r>
        <w:rPr>
          <w:rFonts w:hint="eastAsia" w:asciiTheme="majorEastAsia" w:hAnsiTheme="majorEastAsia" w:eastAsiaTheme="majorEastAsia" w:cstheme="majorEastAsia"/>
          <w:sz w:val="24"/>
          <w:highlight w:val="none"/>
          <w:vertAlign w:val="subscript"/>
          <w:lang w:val="de-DE"/>
        </w:rPr>
        <w:t>exp</w:t>
      </w:r>
      <w:r>
        <w:rPr>
          <w:rFonts w:hint="eastAsia" w:asciiTheme="majorEastAsia" w:hAnsiTheme="majorEastAsia" w:eastAsiaTheme="majorEastAsia" w:cstheme="majorEastAsia"/>
          <w:sz w:val="24"/>
          <w:highlight w:val="none"/>
          <w:lang w:val="de-DE"/>
        </w:rPr>
        <w:t xml:space="preserve"> – RIA</w:t>
      </w:r>
      <w:r>
        <w:rPr>
          <w:rFonts w:hint="eastAsia" w:asciiTheme="majorEastAsia" w:hAnsiTheme="majorEastAsia" w:eastAsiaTheme="majorEastAsia" w:cstheme="majorEastAsia"/>
          <w:sz w:val="24"/>
          <w:highlight w:val="none"/>
          <w:vertAlign w:val="subscript"/>
          <w:lang w:val="de-DE"/>
        </w:rPr>
        <w:t>theo</w:t>
      </w:r>
      <w:r>
        <w:rPr>
          <w:rFonts w:hint="eastAsia" w:asciiTheme="majorEastAsia" w:hAnsiTheme="majorEastAsia" w:eastAsiaTheme="majorEastAsia" w:cstheme="majorEastAsia"/>
          <w:sz w:val="24"/>
          <w:highlight w:val="none"/>
          <w:lang w:val="de-DE"/>
        </w:rPr>
        <w:t>)/ RIA</w:t>
      </w:r>
      <w:r>
        <w:rPr>
          <w:rFonts w:hint="eastAsia" w:asciiTheme="majorEastAsia" w:hAnsiTheme="majorEastAsia" w:eastAsiaTheme="majorEastAsia" w:cstheme="majorEastAsia"/>
          <w:sz w:val="24"/>
          <w:highlight w:val="none"/>
          <w:vertAlign w:val="subscript"/>
          <w:lang w:val="de-DE"/>
        </w:rPr>
        <w:t>theo</w:t>
      </w:r>
      <w:r>
        <w:rPr>
          <w:rFonts w:hint="eastAsia" w:asciiTheme="majorEastAsia" w:hAnsiTheme="majorEastAsia" w:eastAsiaTheme="majorEastAsia" w:cstheme="majorEastAsia"/>
          <w:sz w:val="24"/>
          <w:highlight w:val="none"/>
          <w:lang w:val="de-DE"/>
        </w:rPr>
        <w:t>)计算，&lt; 5%</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de-DE" w:eastAsia="zh-CN"/>
        </w:rPr>
        <w:t>★</w:t>
      </w:r>
      <w:r>
        <w:rPr>
          <w:rFonts w:hint="eastAsia" w:asciiTheme="majorEastAsia" w:hAnsiTheme="majorEastAsia" w:eastAsiaTheme="majorEastAsia" w:cstheme="majorEastAsia"/>
          <w:sz w:val="24"/>
          <w:highlight w:val="none"/>
          <w:lang w:val="de-DE"/>
        </w:rPr>
        <w:t>数据采集模式：双增益10GhzADC</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机械泵需和质谱同一厂家，否则需提供原装进口机械泵5个备用</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仪器内置调谐液存储装置，无需频繁进行人工准备；不接受外置流动注射泵传输调谐液设计</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工作站及软件</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工作站电脑：Z4服务器，Microsoft Windows操作系统，24寸液晶显示器，激光打印机</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仪器控制软件：所有液相单元和质谱由同一软件控制。可以实现数据采集，数据分析，液相和质谱同步控制，在线监测，反馈显示和序列采集</w:t>
      </w:r>
    </w:p>
    <w:p>
      <w:pPr>
        <w:pStyle w:val="5"/>
        <w:keepNext w:val="0"/>
        <w:keepLines w:val="0"/>
        <w:pageBreakBefore w:val="0"/>
        <w:widowControl w:val="0"/>
        <w:numPr>
          <w:ilvl w:val="1"/>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数据分析软件</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同时处理多组数据，进行数据间比较、处理，背景扣除等基本功能</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分子特征提取软件：从海量数据提取化合物特征信息，能够消除背景噪音干扰，从背景中提取响应很小的组分信息，确保不会漏掉任何可能存在的目标组分信息。对于共馏出物，自动分类各组分的质谱信号，能够提取任何一个组分的所有质谱信号，包括同位素信息。能够结合保留时间及色谱峰形排除假阳性结果</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同位素分析软件：自动计算每个分子式的同位素丰度，并与理论同位素丰度比对，可以模拟化合物的理论同位素质谱图；自动与分子式计算功能关联进行元素组成确认；通过精确质量、同位素丰度比、同位素精确质量比及MS/MS信息的可靠关联分析，给出最终结构信息</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同位素丰度和准确质量预测软件：用于任意元素组成分子式的同位素丰度及准确质量的模拟</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准确质量数据库建立软件：提供高分辨质谱数据库及谱库建立软件，用户可以根据项目自行建立任何数据库，并具有保留时间检索功能。</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数据流程处理软件：可设定数据自动处理功能，将常用定性分析功能设定为自动方法，进行批量的数据处理，简化分析流程，提高分析效率。</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定量分析软件：自动进行定量分析，可设置自动处理流程，在打开数据时完成数据处理和报告生成工作。</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MS/MS质谱结构解析软件：根据MS一级分子式及MS/MS二级碎片谱图信息，自动进行碎片信息关联解析，给出结构式信息。</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质谱组学数据处理软件</w:t>
      </w:r>
    </w:p>
    <w:p>
      <w:pPr>
        <w:pStyle w:val="5"/>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可兼容GC/MS，LC/MS，CE/MS，ICP/MS的数据，上述数据均可通过质谱组学数据处理软件进行统计学分析，真正实现数据整合及分析的一体性，消除不同软件分析所带来的误差，结果更加准确。</w:t>
      </w:r>
    </w:p>
    <w:p>
      <w:pPr>
        <w:pStyle w:val="5"/>
        <w:keepNext w:val="0"/>
        <w:keepLines w:val="0"/>
        <w:pageBreakBefore w:val="0"/>
        <w:widowControl w:val="0"/>
        <w:kinsoku/>
        <w:wordWrap/>
        <w:overflowPunct/>
        <w:topLinePunct w:val="0"/>
        <w:autoSpaceDE/>
        <w:autoSpaceDN/>
        <w:bidi w:val="0"/>
        <w:adjustRightInd/>
        <w:snapToGrid/>
        <w:spacing w:beforeLines="0" w:afterLines="0" w:line="360" w:lineRule="auto"/>
        <w:ind w:left="0" w:leftChars="0" w:firstLine="480" w:firstLineChars="20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内置最全面的统计学算法：包括ANOVA，聚类分析、PCA等专业统计学算法。</w:t>
      </w:r>
    </w:p>
    <w:p>
      <w:pPr>
        <w:pStyle w:val="5"/>
        <w:keepNext w:val="0"/>
        <w:keepLines w:val="0"/>
        <w:pageBreakBefore w:val="0"/>
        <w:widowControl w:val="0"/>
        <w:numPr>
          <w:ilvl w:val="2"/>
          <w:numId w:val="3"/>
        </w:numPr>
        <w:kinsoku/>
        <w:wordWrap/>
        <w:overflowPunct/>
        <w:topLinePunct w:val="0"/>
        <w:autoSpaceDE/>
        <w:autoSpaceDN/>
        <w:bidi w:val="0"/>
        <w:adjustRightInd/>
        <w:snapToGrid/>
        <w:spacing w:beforeLines="0" w:afterLines="0" w:line="360" w:lineRule="auto"/>
        <w:ind w:left="0" w:leftChars="0" w:firstLine="480" w:firstLineChars="0"/>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代谢物数据库：&gt; 90,000个常见代谢物，全自动检索，其中&gt; 10,000个化合物有精确质量数二级质谱图；可提取物和可浸出物精确质量数数据库，水质筛查个人化合物数据库。</w:t>
      </w:r>
    </w:p>
    <w:p>
      <w:pPr>
        <w:pStyle w:val="5"/>
        <w:keepNext w:val="0"/>
        <w:keepLines w:val="0"/>
        <w:pageBreakBefore w:val="0"/>
        <w:widowControl w:val="0"/>
        <w:numPr>
          <w:ilvl w:val="0"/>
          <w:numId w:val="3"/>
        </w:numPr>
        <w:kinsoku/>
        <w:wordWrap/>
        <w:overflowPunct/>
        <w:topLinePunct w:val="0"/>
        <w:autoSpaceDE/>
        <w:autoSpaceDN/>
        <w:bidi w:val="0"/>
        <w:adjustRightInd/>
        <w:snapToGrid/>
        <w:spacing w:beforeLines="0" w:afterLines="0" w:line="360" w:lineRule="auto"/>
        <w:ind w:left="900" w:leftChars="0" w:hanging="420" w:firstLineChars="0"/>
        <w:textAlignment w:val="auto"/>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售后及技术资料</w:t>
      </w:r>
    </w:p>
    <w:p>
      <w:pPr>
        <w:pStyle w:val="5"/>
        <w:keepNext w:val="0"/>
        <w:keepLines w:val="0"/>
        <w:pageBreakBefore w:val="0"/>
        <w:widowControl w:val="0"/>
        <w:numPr>
          <w:ilvl w:val="1"/>
          <w:numId w:val="4"/>
        </w:numPr>
        <w:kinsoku/>
        <w:wordWrap/>
        <w:overflowPunct/>
        <w:topLinePunct w:val="0"/>
        <w:autoSpaceDE/>
        <w:autoSpaceDN/>
        <w:bidi w:val="0"/>
        <w:adjustRightInd/>
        <w:snapToGrid/>
        <w:spacing w:beforeLines="0" w:afterLines="0" w:line="360" w:lineRule="auto"/>
        <w:ind w:left="0" w:leftChars="0" w:firstLine="482" w:firstLineChars="0"/>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厂家售后服务通过ISO质量体系认证，需提供证书.</w:t>
      </w:r>
    </w:p>
    <w:p>
      <w:pPr>
        <w:pStyle w:val="5"/>
        <w:keepNext w:val="0"/>
        <w:keepLines w:val="0"/>
        <w:pageBreakBefore w:val="0"/>
        <w:widowControl w:val="0"/>
        <w:numPr>
          <w:ilvl w:val="1"/>
          <w:numId w:val="4"/>
        </w:numPr>
        <w:kinsoku/>
        <w:wordWrap/>
        <w:overflowPunct/>
        <w:topLinePunct w:val="0"/>
        <w:autoSpaceDE/>
        <w:autoSpaceDN/>
        <w:bidi w:val="0"/>
        <w:adjustRightInd/>
        <w:snapToGrid/>
        <w:spacing w:beforeLines="0" w:afterLines="0" w:line="360" w:lineRule="auto"/>
        <w:ind w:left="0" w:leftChars="0" w:firstLine="482" w:firstLineChars="0"/>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提供免费的全套技术资料，包括仪器说明书、操作手册和相关资料等。提供清洁维护仪器所用全部工具，常用耗材等</w:t>
      </w:r>
    </w:p>
    <w:p>
      <w:pPr>
        <w:pStyle w:val="5"/>
        <w:keepNext w:val="0"/>
        <w:keepLines w:val="0"/>
        <w:pageBreakBefore w:val="0"/>
        <w:widowControl w:val="0"/>
        <w:numPr>
          <w:ilvl w:val="1"/>
          <w:numId w:val="4"/>
        </w:numPr>
        <w:kinsoku/>
        <w:wordWrap/>
        <w:overflowPunct/>
        <w:topLinePunct w:val="0"/>
        <w:autoSpaceDE/>
        <w:autoSpaceDN/>
        <w:bidi w:val="0"/>
        <w:adjustRightInd/>
        <w:snapToGrid/>
        <w:spacing w:beforeLines="0" w:afterLines="0" w:line="360" w:lineRule="auto"/>
        <w:ind w:left="0" w:leftChars="0" w:firstLine="482" w:firstLineChars="0"/>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正规注册的办事处、维修站及零备件保税库。在中国境内有专门负责的经验丰富的维修工程师和在中国境内有专门的技术应用支持工程师，在国内设有应用开发实验室。保证长期供应零备件和正常的售后服务. 在国内的技术服务中心（包括维修中心）或消耗品代理商应当提供所有的服务,包括备用零配件及消耗品。</w:t>
      </w:r>
    </w:p>
    <w:p>
      <w:pPr>
        <w:pStyle w:val="5"/>
        <w:keepNext w:val="0"/>
        <w:keepLines w:val="0"/>
        <w:pageBreakBefore w:val="0"/>
        <w:widowControl w:val="0"/>
        <w:numPr>
          <w:ilvl w:val="1"/>
          <w:numId w:val="4"/>
        </w:numPr>
        <w:kinsoku/>
        <w:wordWrap/>
        <w:overflowPunct/>
        <w:topLinePunct w:val="0"/>
        <w:autoSpaceDE/>
        <w:autoSpaceDN/>
        <w:bidi w:val="0"/>
        <w:adjustRightInd/>
        <w:snapToGrid/>
        <w:spacing w:beforeLines="0" w:afterLines="0" w:line="360" w:lineRule="auto"/>
        <w:ind w:left="0" w:leftChars="0" w:firstLine="482" w:firstLineChars="0"/>
        <w:jc w:val="left"/>
        <w:textAlignment w:val="auto"/>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设备中液相和质谱部分均应安装验收。安装验收期间，对用户进行仪器的基本操作和日常维护的现场培训，内容包括仪器原理，使用方法，基本故障排除和维护方法等。为用户培训使用仪器的工作人员。需制定详细的培训计划。培训计划中须安排集中免费培训，每台仪器培训2名。</w:t>
      </w:r>
    </w:p>
    <w:p>
      <w:pPr>
        <w:pStyle w:val="5"/>
        <w:keepNext w:val="0"/>
        <w:keepLines w:val="0"/>
        <w:pageBreakBefore w:val="0"/>
        <w:widowControl w:val="0"/>
        <w:numPr>
          <w:ilvl w:val="1"/>
          <w:numId w:val="4"/>
        </w:numPr>
        <w:kinsoku/>
        <w:wordWrap/>
        <w:overflowPunct/>
        <w:topLinePunct w:val="0"/>
        <w:autoSpaceDE/>
        <w:autoSpaceDN/>
        <w:bidi w:val="0"/>
        <w:adjustRightInd/>
        <w:snapToGrid/>
        <w:spacing w:beforeLines="0" w:afterLines="0" w:line="360" w:lineRule="auto"/>
        <w:ind w:left="0" w:leftChars="0" w:firstLine="482" w:firstLineChars="0"/>
        <w:jc w:val="left"/>
        <w:textAlignment w:val="auto"/>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sz w:val="24"/>
          <w:highlight w:val="none"/>
        </w:rPr>
        <w:t>提供整机（包括电脑、液相、质谱仪）在安装、调试通过后1年的免费保修，提供仪器自校验检验规程及两年自校验所需标样。需提供仪器操作规程</w:t>
      </w:r>
      <w:r>
        <w:rPr>
          <w:rFonts w:hint="eastAsia" w:asciiTheme="majorEastAsia" w:hAnsiTheme="majorEastAsia" w:eastAsiaTheme="majorEastAsia" w:cstheme="majorEastAsia"/>
          <w:color w:val="auto"/>
          <w:sz w:val="24"/>
          <w:highlight w:val="none"/>
          <w:lang w:eastAsia="zh-CN"/>
        </w:rPr>
        <w:t>。</w:t>
      </w:r>
    </w:p>
    <w:p>
      <w:pPr>
        <w:pStyle w:val="5"/>
        <w:keepNext w:val="0"/>
        <w:keepLines w:val="0"/>
        <w:pageBreakBefore w:val="0"/>
        <w:widowControl w:val="0"/>
        <w:numPr>
          <w:ilvl w:val="1"/>
          <w:numId w:val="4"/>
        </w:numPr>
        <w:kinsoku/>
        <w:wordWrap/>
        <w:overflowPunct/>
        <w:topLinePunct w:val="0"/>
        <w:autoSpaceDE/>
        <w:autoSpaceDN/>
        <w:bidi w:val="0"/>
        <w:adjustRightInd/>
        <w:snapToGrid/>
        <w:spacing w:beforeLines="0" w:afterLines="0" w:line="360" w:lineRule="auto"/>
        <w:ind w:left="0" w:leftChars="0" w:firstLine="482" w:firstLineChars="0"/>
        <w:jc w:val="left"/>
        <w:textAlignment w:val="auto"/>
        <w:rPr>
          <w:rFonts w:hint="eastAsia" w:asciiTheme="majorEastAsia" w:hAnsiTheme="majorEastAsia" w:eastAsiaTheme="majorEastAsia" w:cstheme="majorEastAsia"/>
          <w:color w:val="auto"/>
          <w:sz w:val="24"/>
          <w:highlight w:val="none"/>
          <w:lang w:eastAsia="zh-CN"/>
        </w:rPr>
      </w:pPr>
      <w:r>
        <w:rPr>
          <w:rFonts w:hint="eastAsia" w:asciiTheme="majorEastAsia" w:hAnsiTheme="majorEastAsia" w:eastAsiaTheme="majorEastAsia" w:cstheme="majorEastAsia"/>
          <w:color w:val="auto"/>
          <w:sz w:val="24"/>
          <w:highlight w:val="none"/>
          <w:lang w:eastAsia="zh-CN"/>
        </w:rPr>
        <w:t>指定至少</w:t>
      </w:r>
      <w:r>
        <w:rPr>
          <w:rFonts w:hint="eastAsia" w:asciiTheme="majorEastAsia" w:hAnsiTheme="majorEastAsia" w:eastAsiaTheme="majorEastAsia" w:cstheme="majorEastAsia"/>
          <w:color w:val="auto"/>
          <w:sz w:val="24"/>
          <w:highlight w:val="none"/>
          <w:lang w:val="en-US" w:eastAsia="zh-CN"/>
        </w:rPr>
        <w:t>1名工程师提供12个月驻地技术服务，7*24小时响应，包含期间设备维修维护、设备保养、方法开发、现场使用相关的技术支持</w:t>
      </w:r>
      <w:r>
        <w:rPr>
          <w:rFonts w:hint="eastAsia" w:asciiTheme="majorEastAsia" w:hAnsiTheme="majorEastAsia" w:eastAsiaTheme="majorEastAsia" w:cstheme="majorEastAsia"/>
          <w:color w:val="auto"/>
          <w:sz w:val="24"/>
          <w:highlight w:val="none"/>
          <w:lang w:eastAsia="zh-CN"/>
        </w:rPr>
        <w:t>。</w:t>
      </w:r>
    </w:p>
    <w:p>
      <w:pPr>
        <w:pageBreakBefore w:val="0"/>
        <w:kinsoku/>
        <w:overflowPunct/>
        <w:topLinePunct w:val="0"/>
        <w:bidi w:val="0"/>
        <w:snapToGrid/>
        <w:spacing w:line="360" w:lineRule="auto"/>
        <w:ind w:firstLine="482" w:firstLineChars="200"/>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（四）服务要求</w:t>
      </w:r>
    </w:p>
    <w:p>
      <w:pPr>
        <w:pageBreakBefore w:val="0"/>
        <w:numPr>
          <w:ilvl w:val="0"/>
          <w:numId w:val="5"/>
        </w:numPr>
        <w:kinsoku/>
        <w:overflowPunct/>
        <w:topLinePunct w:val="0"/>
        <w:bidi w:val="0"/>
        <w:snapToGrid/>
        <w:spacing w:line="360" w:lineRule="auto"/>
        <w:ind w:left="26" w:leftChars="0" w:firstLine="454"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安装调试：投标人须将设备、系统安装并调试至正常运行，培训用户能够独立操作。</w:t>
      </w:r>
    </w:p>
    <w:p>
      <w:pPr>
        <w:pageBreakBefore w:val="0"/>
        <w:numPr>
          <w:ilvl w:val="0"/>
          <w:numId w:val="5"/>
        </w:numPr>
        <w:kinsoku/>
        <w:overflowPunct/>
        <w:topLinePunct w:val="0"/>
        <w:bidi w:val="0"/>
        <w:snapToGrid/>
        <w:spacing w:line="360" w:lineRule="auto"/>
        <w:ind w:left="26" w:leftChars="0" w:firstLine="454"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检测验收：本项目完工后，采购人根据规定组织验收小组按照国家有关规定组织验收并填写“合格验收单”，完成货物所有权的移交工作。</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（1）质量验收标准：招标文件规定部分，按招标文件规定要求验收，招标文件未规定部分，严格按照国家权威部门质检标准组织验收。</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（2）投标人应保证所有货物质量符合技术标准和验收标准。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（3）投标人应选派专业人员到采购单位配合采购方对所有货物逐个查验，并对设备的性能进行实验和验收。该项目全部验收完毕后成交投标人应提交一份完整的测试报告。验收人员逐个验收后填写验收报告。</w:t>
      </w:r>
    </w:p>
    <w:p>
      <w:pPr>
        <w:pageBreakBefore w:val="0"/>
        <w:numPr>
          <w:ilvl w:val="0"/>
          <w:numId w:val="5"/>
        </w:numPr>
        <w:kinsoku/>
        <w:overflowPunct/>
        <w:topLinePunct w:val="0"/>
        <w:bidi w:val="0"/>
        <w:snapToGrid/>
        <w:spacing w:line="360" w:lineRule="auto"/>
        <w:ind w:left="26" w:leftChars="0" w:firstLine="454" w:firstLineChars="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培训</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（1）投标人技术员要对提供设备和其它设备进行现场培训，食住自理；</w:t>
      </w:r>
    </w:p>
    <w:p>
      <w:pPr>
        <w:pStyle w:val="2"/>
        <w:ind w:firstLine="480" w:firstLineChars="200"/>
        <w:rPr>
          <w:rFonts w:hint="default"/>
          <w:highlight w:val="none"/>
          <w:lang w:val="en-US"/>
        </w:rPr>
      </w:pPr>
      <w:r>
        <w:rPr>
          <w:rFonts w:hint="eastAsia" w:ascii="宋体" w:hAnsi="宋体" w:cs="宋体"/>
          <w:color w:val="auto"/>
          <w:sz w:val="24"/>
          <w:highlight w:val="none"/>
          <w:lang w:val="en-US" w:eastAsia="zh-CN"/>
        </w:rPr>
        <w:t>（2）培训人数2人，培训天数4天，培训形式现场培训。</w:t>
      </w:r>
    </w:p>
    <w:bookmarkEnd w:id="0"/>
    <w:p>
      <w:r>
        <w:rPr>
          <w:rFonts w:hint="eastAsia" w:ascii="宋体" w:hAnsi="宋体" w:cs="宋体"/>
          <w:b/>
          <w:color w:val="auto"/>
          <w:sz w:val="24"/>
          <w:highlight w:val="none"/>
          <w:lang w:eastAsia="zh-CN"/>
        </w:rPr>
        <w:t>注：标记★号技术参数为实质性要求，投标人应提供技术证明材料予以佐证，并且必须满足满足，否则属于无效投标。</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gilent TT Cond">
    <w:altName w:val="Segoe Print"/>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9B687"/>
    <w:multiLevelType w:val="singleLevel"/>
    <w:tmpl w:val="EA59B687"/>
    <w:lvl w:ilvl="0" w:tentative="0">
      <w:start w:val="1"/>
      <w:numFmt w:val="decimal"/>
      <w:suff w:val="nothing"/>
      <w:lvlText w:val="%1．"/>
      <w:lvlJc w:val="left"/>
      <w:pPr>
        <w:ind w:left="0" w:firstLine="400"/>
      </w:pPr>
      <w:rPr>
        <w:rFonts w:hint="default"/>
      </w:rPr>
    </w:lvl>
  </w:abstractNum>
  <w:abstractNum w:abstractNumId="1">
    <w:nsid w:val="2B01DC21"/>
    <w:multiLevelType w:val="multilevel"/>
    <w:tmpl w:val="2B01DC21"/>
    <w:lvl w:ilvl="0" w:tentative="0">
      <w:start w:val="4"/>
      <w:numFmt w:val="decimal"/>
      <w:lvlText w:val="%1."/>
      <w:lvlJc w:val="left"/>
      <w:pPr>
        <w:ind w:left="900" w:hanging="420"/>
      </w:pPr>
      <w:rPr>
        <w:rFonts w:hint="default" w:ascii="宋体" w:hAnsi="宋体" w:eastAsia="宋体" w:cs="宋体"/>
        <w:u w:val="none" w:color="auto"/>
      </w:rPr>
    </w:lvl>
    <w:lvl w:ilvl="1" w:tentative="0">
      <w:start w:val="1"/>
      <w:numFmt w:val="decimal"/>
      <w:isLgl/>
      <w:lvlText w:val="%1.%2"/>
      <w:lvlJc w:val="left"/>
      <w:pPr>
        <w:tabs>
          <w:tab w:val="left" w:pos="482"/>
        </w:tabs>
        <w:ind w:left="0" w:leftChars="0" w:firstLine="482" w:firstLineChars="0"/>
      </w:pPr>
      <w:rPr>
        <w:rFonts w:hint="default" w:ascii="宋体" w:hAnsi="宋体" w:eastAsia="宋体" w:cs="宋体"/>
        <w:u w:val="none" w:color="auto"/>
      </w:rPr>
    </w:lvl>
    <w:lvl w:ilvl="2" w:tentative="0">
      <w:start w:val="1"/>
      <w:numFmt w:val="decimal"/>
      <w:isLgl/>
      <w:lvlText w:val="%1.%2.%3"/>
      <w:lvlJc w:val="left"/>
      <w:pPr>
        <w:ind w:left="1200" w:hanging="720"/>
      </w:pPr>
      <w:rPr>
        <w:rFonts w:hint="default" w:ascii="宋体" w:hAnsi="宋体" w:eastAsia="宋体" w:cs="宋体"/>
        <w:u w:val="none" w:color="auto"/>
      </w:rPr>
    </w:lvl>
    <w:lvl w:ilvl="3" w:tentative="0">
      <w:start w:val="1"/>
      <w:numFmt w:val="decimal"/>
      <w:isLgl/>
      <w:lvlText w:val="%1.%2.%3.%4"/>
      <w:lvlJc w:val="left"/>
      <w:pPr>
        <w:ind w:left="1200" w:hanging="720"/>
      </w:pPr>
      <w:rPr>
        <w:rFonts w:hint="default" w:ascii="宋体" w:hAnsi="宋体" w:eastAsia="宋体" w:cs="宋体"/>
        <w:sz w:val="24"/>
        <w:szCs w:val="24"/>
        <w:u w:val="none" w:color="auto"/>
      </w:rPr>
    </w:lvl>
    <w:lvl w:ilvl="4" w:tentative="0">
      <w:start w:val="1"/>
      <w:numFmt w:val="decimal"/>
      <w:isLgl/>
      <w:lvlText w:val="%1.%2.%3.%4.%5"/>
      <w:lvlJc w:val="left"/>
      <w:pPr>
        <w:ind w:left="1560" w:hanging="1080"/>
      </w:pPr>
      <w:rPr>
        <w:rFonts w:hint="default" w:ascii="Agilent TT Cond" w:hAnsi="Agilent TT Cond" w:eastAsia="宋体"/>
        <w:u w:val="none" w:color="auto"/>
      </w:rPr>
    </w:lvl>
    <w:lvl w:ilvl="5" w:tentative="0">
      <w:start w:val="1"/>
      <w:numFmt w:val="decimal"/>
      <w:isLgl/>
      <w:lvlText w:val="%1.%2.%3.%4.%5.%6"/>
      <w:lvlJc w:val="left"/>
      <w:pPr>
        <w:ind w:left="1560" w:hanging="1080"/>
      </w:pPr>
      <w:rPr>
        <w:rFonts w:hint="default"/>
        <w:u w:val="none" w:color="auto"/>
      </w:rPr>
    </w:lvl>
    <w:lvl w:ilvl="6" w:tentative="0">
      <w:start w:val="1"/>
      <w:numFmt w:val="decimal"/>
      <w:isLgl/>
      <w:lvlText w:val="%1.%2.%3.%4.%5.%6.%7"/>
      <w:lvlJc w:val="left"/>
      <w:pPr>
        <w:ind w:left="1920" w:hanging="1440"/>
      </w:pPr>
      <w:rPr>
        <w:rFonts w:hint="default"/>
        <w:u w:val="none" w:color="auto"/>
      </w:rPr>
    </w:lvl>
    <w:lvl w:ilvl="7" w:tentative="0">
      <w:start w:val="1"/>
      <w:numFmt w:val="decimal"/>
      <w:isLgl/>
      <w:lvlText w:val="%1.%2.%3.%4.%5.%6.%7.%8"/>
      <w:lvlJc w:val="left"/>
      <w:pPr>
        <w:ind w:left="1920" w:hanging="1440"/>
      </w:pPr>
      <w:rPr>
        <w:rFonts w:hint="default"/>
        <w:u w:val="none" w:color="auto"/>
      </w:rPr>
    </w:lvl>
    <w:lvl w:ilvl="8" w:tentative="0">
      <w:start w:val="1"/>
      <w:numFmt w:val="decimal"/>
      <w:isLgl/>
      <w:lvlText w:val="%1.%2.%3.%4.%5.%6.%7.%8.%9"/>
      <w:lvlJc w:val="left"/>
      <w:pPr>
        <w:ind w:left="2280" w:hanging="1800"/>
      </w:pPr>
      <w:rPr>
        <w:rFonts w:hint="default"/>
        <w:u w:val="none" w:color="auto"/>
      </w:rPr>
    </w:lvl>
  </w:abstractNum>
  <w:abstractNum w:abstractNumId="2">
    <w:nsid w:val="4424606E"/>
    <w:multiLevelType w:val="singleLevel"/>
    <w:tmpl w:val="4424606E"/>
    <w:lvl w:ilvl="0" w:tentative="0">
      <w:start w:val="1"/>
      <w:numFmt w:val="decimal"/>
      <w:suff w:val="nothing"/>
      <w:lvlText w:val="%1．"/>
      <w:lvlJc w:val="left"/>
      <w:pPr>
        <w:ind w:left="26" w:firstLine="454"/>
      </w:pPr>
      <w:rPr>
        <w:rFonts w:hint="default"/>
      </w:rPr>
    </w:lvl>
  </w:abstractNum>
  <w:abstractNum w:abstractNumId="3">
    <w:nsid w:val="6D2B220B"/>
    <w:multiLevelType w:val="singleLevel"/>
    <w:tmpl w:val="6D2B220B"/>
    <w:lvl w:ilvl="0" w:tentative="0">
      <w:start w:val="1"/>
      <w:numFmt w:val="decimal"/>
      <w:suff w:val="nothing"/>
      <w:lvlText w:val="%1．"/>
      <w:lvlJc w:val="left"/>
      <w:pPr>
        <w:ind w:left="0" w:firstLine="400"/>
      </w:pPr>
      <w:rPr>
        <w:rFonts w:hint="default"/>
      </w:rPr>
    </w:lvl>
  </w:abstractNum>
  <w:abstractNum w:abstractNumId="4">
    <w:nsid w:val="6D359887"/>
    <w:multiLevelType w:val="multilevel"/>
    <w:tmpl w:val="6D359887"/>
    <w:lvl w:ilvl="0" w:tentative="0">
      <w:start w:val="1"/>
      <w:numFmt w:val="decimal"/>
      <w:lvlText w:val="%1."/>
      <w:lvlJc w:val="left"/>
      <w:pPr>
        <w:ind w:left="900" w:hanging="420"/>
      </w:pPr>
      <w:rPr>
        <w:rFonts w:hint="default"/>
        <w:u w:val="none" w:color="auto"/>
      </w:rPr>
    </w:lvl>
    <w:lvl w:ilvl="1" w:tentative="0">
      <w:start w:val="1"/>
      <w:numFmt w:val="decimal"/>
      <w:isLgl/>
      <w:lvlText w:val="%1.%2"/>
      <w:lvlJc w:val="left"/>
      <w:pPr>
        <w:ind w:left="0" w:leftChars="0" w:firstLine="480" w:firstLineChars="0"/>
      </w:pPr>
      <w:rPr>
        <w:rFonts w:hint="default"/>
        <w:u w:val="none" w:color="auto"/>
      </w:rPr>
    </w:lvl>
    <w:lvl w:ilvl="2" w:tentative="0">
      <w:start w:val="1"/>
      <w:numFmt w:val="decimal"/>
      <w:isLgl/>
      <w:lvlText w:val="%1.%2.%3"/>
      <w:lvlJc w:val="left"/>
      <w:pPr>
        <w:ind w:left="0" w:leftChars="0" w:firstLine="480" w:firstLineChars="0"/>
      </w:pPr>
      <w:rPr>
        <w:rFonts w:hint="default" w:ascii="宋体" w:hAnsi="宋体" w:eastAsia="宋体" w:cs="宋体"/>
        <w:u w:val="none" w:color="auto"/>
      </w:rPr>
    </w:lvl>
    <w:lvl w:ilvl="3" w:tentative="0">
      <w:start w:val="1"/>
      <w:numFmt w:val="decimal"/>
      <w:isLgl/>
      <w:lvlText w:val="%1.%2.%3.%4"/>
      <w:lvlJc w:val="left"/>
      <w:pPr>
        <w:ind w:left="0" w:leftChars="0" w:firstLine="480" w:firstLineChars="0"/>
      </w:pPr>
      <w:rPr>
        <w:rFonts w:hint="default" w:ascii="宋体" w:hAnsi="宋体" w:eastAsia="宋体" w:cs="宋体"/>
        <w:sz w:val="24"/>
        <w:szCs w:val="24"/>
        <w:u w:val="none" w:color="auto"/>
      </w:rPr>
    </w:lvl>
    <w:lvl w:ilvl="4" w:tentative="0">
      <w:start w:val="1"/>
      <w:numFmt w:val="decimal"/>
      <w:isLgl/>
      <w:lvlText w:val="%1.%2.%3.%4.%5"/>
      <w:lvlJc w:val="left"/>
      <w:pPr>
        <w:ind w:left="1560" w:hanging="1080"/>
      </w:pPr>
      <w:rPr>
        <w:rFonts w:hint="default" w:ascii="Agilent TT Cond" w:hAnsi="Agilent TT Cond" w:eastAsia="宋体"/>
        <w:u w:val="none" w:color="auto"/>
      </w:rPr>
    </w:lvl>
    <w:lvl w:ilvl="5" w:tentative="0">
      <w:start w:val="1"/>
      <w:numFmt w:val="decimal"/>
      <w:isLgl/>
      <w:lvlText w:val="%1.%2.%3.%4.%5.%6"/>
      <w:lvlJc w:val="left"/>
      <w:pPr>
        <w:ind w:left="1560" w:hanging="1080"/>
      </w:pPr>
      <w:rPr>
        <w:rFonts w:hint="default"/>
        <w:u w:val="none" w:color="auto"/>
      </w:rPr>
    </w:lvl>
    <w:lvl w:ilvl="6" w:tentative="0">
      <w:start w:val="1"/>
      <w:numFmt w:val="decimal"/>
      <w:isLgl/>
      <w:lvlText w:val="%1.%2.%3.%4.%5.%6.%7"/>
      <w:lvlJc w:val="left"/>
      <w:pPr>
        <w:ind w:left="1920" w:hanging="1440"/>
      </w:pPr>
      <w:rPr>
        <w:rFonts w:hint="default"/>
        <w:u w:val="none" w:color="auto"/>
      </w:rPr>
    </w:lvl>
    <w:lvl w:ilvl="7" w:tentative="0">
      <w:start w:val="1"/>
      <w:numFmt w:val="decimal"/>
      <w:isLgl/>
      <w:lvlText w:val="%1.%2.%3.%4.%5.%6.%7.%8"/>
      <w:lvlJc w:val="left"/>
      <w:pPr>
        <w:ind w:left="1920" w:hanging="1440"/>
      </w:pPr>
      <w:rPr>
        <w:rFonts w:hint="default"/>
        <w:u w:val="none" w:color="auto"/>
      </w:rPr>
    </w:lvl>
    <w:lvl w:ilvl="8" w:tentative="0">
      <w:start w:val="1"/>
      <w:numFmt w:val="decimal"/>
      <w:isLgl/>
      <w:lvlText w:val="%1.%2.%3.%4.%5.%6.%7.%8.%9"/>
      <w:lvlJc w:val="left"/>
      <w:pPr>
        <w:ind w:left="2280" w:hanging="1800"/>
      </w:pPr>
      <w:rPr>
        <w:rFonts w:hint="default"/>
        <w:u w:val="none" w:color="auto"/>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81987"/>
    <w:rsid w:val="45C8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5">
    <w:name w:val="List Paragraph"/>
    <w:unhideWhenUsed/>
    <w:qFormat/>
    <w:uiPriority w:val="34"/>
    <w:pPr>
      <w:widowControl w:val="0"/>
      <w:spacing w:beforeLines="0" w:afterLines="0" w:line="240" w:lineRule="auto"/>
      <w:ind w:firstLine="420" w:firstLineChars="200"/>
      <w:jc w:val="both"/>
    </w:pPr>
    <w:rPr>
      <w:rFonts w:hint="default"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2021-11-08T04:01:00Z</dcterms:created>
  <dc:creator>Everyone</dc:creator>
  <cp:lastModifiedBy>Everyone</cp:lastModifiedBy>
  <dcterms:modified xsi:type="dcterms:W3CDTF">2021-11-08T04:01:40Z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1EC180C7C30E495AA17937B9B5ECBDB9</vt:lpwstr>
  </property>
</Properties>
</file>