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仿宋_GB2312" w:hAnsi="仿宋_GB2312" w:eastAsia="仿宋_GB2312" w:cs="仿宋_GB2312"/>
          <w:b/>
          <w:color w:val="auto"/>
          <w:sz w:val="32"/>
          <w:szCs w:val="32"/>
          <w:highlight w:val="none"/>
        </w:rPr>
      </w:pPr>
    </w:p>
    <w:p>
      <w:pPr>
        <w:spacing w:line="360" w:lineRule="auto"/>
        <w:ind w:firstLine="260" w:firstLineChars="50"/>
        <w:jc w:val="center"/>
        <w:rPr>
          <w:rFonts w:ascii="仿宋_GB2312" w:hAnsi="仿宋_GB2312" w:eastAsia="仿宋_GB2312" w:cs="仿宋_GB2312"/>
          <w:b/>
          <w:color w:val="auto"/>
          <w:sz w:val="52"/>
          <w:szCs w:val="52"/>
          <w:highlight w:val="none"/>
        </w:rPr>
      </w:pPr>
    </w:p>
    <w:p>
      <w:pPr>
        <w:spacing w:line="360" w:lineRule="auto"/>
        <w:ind w:firstLine="260" w:firstLineChars="50"/>
        <w:jc w:val="center"/>
        <w:rPr>
          <w:rFonts w:ascii="仿宋_GB2312" w:hAnsi="仿宋_GB2312" w:eastAsia="仿宋_GB2312" w:cs="仿宋_GB2312"/>
          <w:b/>
          <w:color w:val="auto"/>
          <w:sz w:val="52"/>
          <w:szCs w:val="52"/>
          <w:highlight w:val="none"/>
        </w:rPr>
      </w:pPr>
    </w:p>
    <w:p>
      <w:pPr>
        <w:spacing w:line="360" w:lineRule="auto"/>
        <w:ind w:firstLine="260" w:firstLineChars="50"/>
        <w:jc w:val="center"/>
        <w:rPr>
          <w:rFonts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52"/>
          <w:szCs w:val="52"/>
          <w:highlight w:val="none"/>
        </w:rPr>
        <w:t>辽宁省政府采购项目</w:t>
      </w:r>
    </w:p>
    <w:p>
      <w:pPr>
        <w:spacing w:line="360" w:lineRule="auto"/>
        <w:ind w:firstLine="120" w:firstLineChars="50"/>
        <w:jc w:val="center"/>
        <w:rPr>
          <w:rFonts w:ascii="仿宋_GB2312" w:hAnsi="仿宋_GB2312" w:eastAsia="仿宋_GB2312" w:cs="仿宋_GB2312"/>
          <w:b/>
          <w:color w:val="auto"/>
          <w:sz w:val="24"/>
          <w:highlight w:val="none"/>
        </w:rPr>
      </w:pPr>
    </w:p>
    <w:p>
      <w:pPr>
        <w:spacing w:line="360" w:lineRule="auto"/>
        <w:ind w:firstLine="240" w:firstLineChars="50"/>
        <w:jc w:val="center"/>
        <w:rPr>
          <w:rFonts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货物类公开招标</w:t>
      </w:r>
    </w:p>
    <w:p>
      <w:pPr>
        <w:spacing w:line="360" w:lineRule="auto"/>
        <w:ind w:firstLine="120" w:firstLineChars="50"/>
        <w:jc w:val="center"/>
        <w:rPr>
          <w:rFonts w:ascii="仿宋_GB2312" w:hAnsi="仿宋_GB2312" w:eastAsia="仿宋_GB2312" w:cs="仿宋_GB2312"/>
          <w:b/>
          <w:color w:val="auto"/>
          <w:sz w:val="24"/>
          <w:highlight w:val="none"/>
        </w:rPr>
      </w:pPr>
    </w:p>
    <w:p>
      <w:pPr>
        <w:spacing w:line="360" w:lineRule="auto"/>
        <w:ind w:firstLine="240" w:firstLineChars="50"/>
        <w:jc w:val="center"/>
        <w:rPr>
          <w:rFonts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招标文件</w:t>
      </w:r>
    </w:p>
    <w:p>
      <w:pPr>
        <w:spacing w:line="480" w:lineRule="exact"/>
        <w:jc w:val="center"/>
        <w:rPr>
          <w:rFonts w:ascii="仿宋_GB2312" w:hAnsi="仿宋_GB2312" w:eastAsia="仿宋_GB2312" w:cs="仿宋_GB2312"/>
          <w:b/>
          <w:color w:val="auto"/>
          <w:sz w:val="24"/>
          <w:highlight w:val="none"/>
        </w:rPr>
      </w:pPr>
    </w:p>
    <w:p>
      <w:pPr>
        <w:spacing w:line="480" w:lineRule="exact"/>
        <w:jc w:val="center"/>
        <w:rPr>
          <w:rFonts w:ascii="仿宋_GB2312" w:hAnsi="仿宋_GB2312" w:eastAsia="仿宋_GB2312" w:cs="仿宋_GB2312"/>
          <w:b/>
          <w:color w:val="auto"/>
          <w:sz w:val="24"/>
          <w:highlight w:val="none"/>
        </w:rPr>
      </w:pPr>
    </w:p>
    <w:p>
      <w:pPr>
        <w:spacing w:line="480" w:lineRule="exact"/>
        <w:jc w:val="center"/>
        <w:rPr>
          <w:rFonts w:ascii="仿宋_GB2312" w:hAnsi="仿宋_GB2312" w:eastAsia="仿宋_GB2312" w:cs="仿宋_GB2312"/>
          <w:b/>
          <w:color w:val="auto"/>
          <w:sz w:val="24"/>
          <w:highlight w:val="none"/>
        </w:rPr>
      </w:pPr>
    </w:p>
    <w:p>
      <w:pPr>
        <w:spacing w:line="480" w:lineRule="exact"/>
        <w:jc w:val="center"/>
        <w:rPr>
          <w:rFonts w:ascii="仿宋_GB2312" w:hAnsi="仿宋_GB2312" w:eastAsia="仿宋_GB2312" w:cs="仿宋_GB2312"/>
          <w:b/>
          <w:color w:val="auto"/>
          <w:sz w:val="24"/>
          <w:highlight w:val="none"/>
        </w:rPr>
      </w:pPr>
    </w:p>
    <w:p>
      <w:pPr>
        <w:spacing w:line="480" w:lineRule="exact"/>
        <w:jc w:val="center"/>
        <w:rPr>
          <w:rFonts w:ascii="仿宋_GB2312" w:hAnsi="仿宋_GB2312" w:eastAsia="仿宋_GB2312" w:cs="仿宋_GB2312"/>
          <w:b/>
          <w:color w:val="auto"/>
          <w:sz w:val="24"/>
          <w:highlight w:val="none"/>
        </w:rPr>
      </w:pPr>
    </w:p>
    <w:p>
      <w:pPr>
        <w:spacing w:line="480" w:lineRule="exact"/>
        <w:jc w:val="center"/>
        <w:rPr>
          <w:rFonts w:ascii="仿宋_GB2312" w:hAnsi="仿宋_GB2312" w:eastAsia="仿宋_GB2312" w:cs="仿宋_GB2312"/>
          <w:b/>
          <w:color w:val="auto"/>
          <w:sz w:val="24"/>
          <w:highlight w:val="none"/>
        </w:rPr>
      </w:pPr>
    </w:p>
    <w:p>
      <w:pPr>
        <w:spacing w:line="480" w:lineRule="exact"/>
        <w:jc w:val="center"/>
        <w:rPr>
          <w:rFonts w:ascii="仿宋_GB2312" w:hAnsi="仿宋_GB2312" w:eastAsia="仿宋_GB2312" w:cs="仿宋_GB2312"/>
          <w:b/>
          <w:color w:val="auto"/>
          <w:sz w:val="24"/>
          <w:highlight w:val="none"/>
        </w:rPr>
      </w:pPr>
    </w:p>
    <w:p>
      <w:pPr>
        <w:spacing w:line="480" w:lineRule="exact"/>
        <w:jc w:val="center"/>
        <w:rPr>
          <w:rFonts w:ascii="仿宋_GB2312" w:hAnsi="仿宋_GB2312" w:eastAsia="仿宋_GB2312" w:cs="仿宋_GB2312"/>
          <w:b/>
          <w:color w:val="auto"/>
          <w:sz w:val="24"/>
          <w:highlight w:val="none"/>
        </w:rPr>
      </w:pPr>
    </w:p>
    <w:p>
      <w:pPr>
        <w:spacing w:line="480" w:lineRule="exact"/>
        <w:jc w:val="center"/>
        <w:rPr>
          <w:rFonts w:ascii="仿宋_GB2312" w:hAnsi="仿宋_GB2312" w:eastAsia="仿宋_GB2312" w:cs="仿宋_GB2312"/>
          <w:b/>
          <w:color w:val="auto"/>
          <w:sz w:val="24"/>
          <w:highlight w:val="none"/>
        </w:rPr>
      </w:pPr>
    </w:p>
    <w:p>
      <w:pPr>
        <w:spacing w:line="360" w:lineRule="auto"/>
        <w:ind w:firstLine="720" w:firstLineChars="200"/>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项目名称：沈阳建筑大学高分辨声学成像仪采购</w:t>
      </w:r>
    </w:p>
    <w:p>
      <w:pPr>
        <w:spacing w:line="360" w:lineRule="auto"/>
        <w:ind w:firstLine="2520" w:firstLineChars="700"/>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项目</w:t>
      </w:r>
    </w:p>
    <w:p>
      <w:pPr>
        <w:spacing w:line="360" w:lineRule="auto"/>
        <w:ind w:firstLine="720" w:firstLineChars="200"/>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项目编号：</w:t>
      </w:r>
      <w:r>
        <w:rPr>
          <w:rFonts w:hint="eastAsia" w:ascii="仿宋_GB2312" w:hAnsi="仿宋_GB2312" w:eastAsia="仿宋_GB2312" w:cs="仿宋_GB2312"/>
          <w:b/>
          <w:color w:val="auto"/>
          <w:sz w:val="36"/>
          <w:szCs w:val="36"/>
          <w:highlight w:val="none"/>
          <w:lang w:val="en-US" w:eastAsia="zh-CN"/>
        </w:rPr>
        <w:t>JH21-210000-44641</w:t>
      </w:r>
    </w:p>
    <w:p>
      <w:pPr>
        <w:spacing w:line="360" w:lineRule="auto"/>
        <w:ind w:firstLine="720" w:firstLineChars="200"/>
        <w:rPr>
          <w:rFonts w:ascii="仿宋_GB2312" w:hAnsi="仿宋_GB2312" w:eastAsia="仿宋_GB2312" w:cs="仿宋_GB2312"/>
          <w:b/>
          <w:bCs/>
          <w:color w:val="auto"/>
          <w:sz w:val="36"/>
          <w:szCs w:val="44"/>
          <w:highlight w:val="none"/>
        </w:rPr>
        <w:sectPr>
          <w:pgSz w:w="11906" w:h="16838"/>
          <w:pgMar w:top="1440" w:right="1800" w:bottom="1440" w:left="1800" w:header="851" w:footer="992" w:gutter="0"/>
          <w:cols w:space="720" w:num="1"/>
          <w:docGrid w:type="linesAndChars" w:linePitch="312" w:charSpace="0"/>
        </w:sectPr>
      </w:pPr>
      <w:r>
        <w:rPr>
          <w:rFonts w:hint="eastAsia" w:ascii="仿宋_GB2312" w:hAnsi="仿宋_GB2312" w:eastAsia="仿宋_GB2312" w:cs="仿宋_GB2312"/>
          <w:b/>
          <w:color w:val="auto"/>
          <w:sz w:val="36"/>
          <w:szCs w:val="36"/>
          <w:highlight w:val="none"/>
        </w:rPr>
        <w:t xml:space="preserve">编制单位：辽宁乔泰全过程项目管理有限公司 </w:t>
      </w:r>
    </w:p>
    <w:p>
      <w:pPr>
        <w:jc w:val="center"/>
        <w:rPr>
          <w:rFonts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目  录</w:t>
      </w:r>
    </w:p>
    <w:p>
      <w:pPr>
        <w:jc w:val="center"/>
        <w:rPr>
          <w:rFonts w:ascii="仿宋_GB2312" w:hAnsi="仿宋_GB2312" w:eastAsia="仿宋_GB2312" w:cs="仿宋_GB2312"/>
          <w:b/>
          <w:bCs/>
          <w:color w:val="auto"/>
          <w:sz w:val="44"/>
          <w:szCs w:val="44"/>
          <w:highlight w:val="none"/>
        </w:rPr>
      </w:pPr>
    </w:p>
    <w:p>
      <w:pPr>
        <w:pStyle w:val="14"/>
        <w:tabs>
          <w:tab w:val="right" w:leader="dot" w:pos="8306"/>
        </w:tabs>
        <w:spacing w:line="480" w:lineRule="auto"/>
        <w:rPr>
          <w:b/>
          <w:bCs/>
          <w:color w:val="auto"/>
          <w:sz w:val="24"/>
          <w:highlight w:val="none"/>
        </w:rPr>
      </w:pPr>
      <w:r>
        <w:rPr>
          <w:b/>
          <w:bCs/>
          <w:color w:val="auto"/>
          <w:sz w:val="24"/>
          <w:highlight w:val="none"/>
        </w:rPr>
        <w:fldChar w:fldCharType="begin"/>
      </w:r>
      <w:r>
        <w:rPr>
          <w:b/>
          <w:bCs/>
          <w:color w:val="auto"/>
          <w:sz w:val="24"/>
          <w:highlight w:val="none"/>
        </w:rPr>
        <w:instrText xml:space="preserve">TOC \o "1-1" \h \u </w:instrText>
      </w:r>
      <w:r>
        <w:rPr>
          <w:b/>
          <w:bCs/>
          <w:color w:val="auto"/>
          <w:sz w:val="24"/>
          <w:highlight w:val="none"/>
        </w:rPr>
        <w:fldChar w:fldCharType="separate"/>
      </w:r>
      <w:r>
        <w:rPr>
          <w:color w:val="auto"/>
          <w:highlight w:val="none"/>
        </w:rPr>
        <w:fldChar w:fldCharType="begin"/>
      </w:r>
      <w:r>
        <w:rPr>
          <w:color w:val="auto"/>
          <w:highlight w:val="none"/>
        </w:rPr>
        <w:instrText xml:space="preserve"> HYPERLINK \l "_Toc7381" </w:instrText>
      </w:r>
      <w:r>
        <w:rPr>
          <w:color w:val="auto"/>
          <w:highlight w:val="none"/>
        </w:rPr>
        <w:fldChar w:fldCharType="separate"/>
      </w:r>
      <w:r>
        <w:rPr>
          <w:rFonts w:hint="eastAsia" w:ascii="仿宋_GB2312" w:hAnsi="仿宋_GB2312" w:eastAsia="仿宋_GB2312" w:cs="仿宋_GB2312"/>
          <w:b/>
          <w:bCs/>
          <w:color w:val="auto"/>
          <w:sz w:val="24"/>
          <w:highlight w:val="none"/>
        </w:rPr>
        <w:t>招标公告</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_Toc7381 </w:instrText>
      </w:r>
      <w:r>
        <w:rPr>
          <w:b/>
          <w:bCs/>
          <w:color w:val="auto"/>
          <w:sz w:val="24"/>
          <w:highlight w:val="none"/>
        </w:rPr>
        <w:fldChar w:fldCharType="separate"/>
      </w:r>
      <w:r>
        <w:rPr>
          <w:b/>
          <w:bCs/>
          <w:color w:val="auto"/>
          <w:sz w:val="24"/>
          <w:highlight w:val="none"/>
        </w:rPr>
        <w:t>1</w:t>
      </w:r>
      <w:r>
        <w:rPr>
          <w:b/>
          <w:bCs/>
          <w:color w:val="auto"/>
          <w:sz w:val="24"/>
          <w:highlight w:val="none"/>
        </w:rPr>
        <w:fldChar w:fldCharType="end"/>
      </w:r>
      <w:r>
        <w:rPr>
          <w:b/>
          <w:bCs/>
          <w:color w:val="auto"/>
          <w:sz w:val="24"/>
          <w:highlight w:val="none"/>
        </w:rPr>
        <w:fldChar w:fldCharType="end"/>
      </w:r>
    </w:p>
    <w:p>
      <w:pPr>
        <w:pStyle w:val="14"/>
        <w:tabs>
          <w:tab w:val="right" w:leader="dot" w:pos="8306"/>
        </w:tabs>
        <w:spacing w:line="480" w:lineRule="auto"/>
        <w:rPr>
          <w:b/>
          <w:bCs/>
          <w:color w:val="auto"/>
          <w:sz w:val="24"/>
          <w:highlight w:val="none"/>
        </w:rPr>
      </w:pPr>
      <w:r>
        <w:rPr>
          <w:color w:val="auto"/>
          <w:highlight w:val="none"/>
        </w:rPr>
        <w:fldChar w:fldCharType="begin"/>
      </w:r>
      <w:r>
        <w:rPr>
          <w:color w:val="auto"/>
          <w:highlight w:val="none"/>
        </w:rPr>
        <w:instrText xml:space="preserve"> HYPERLINK \l "_Toc9614" </w:instrText>
      </w:r>
      <w:r>
        <w:rPr>
          <w:color w:val="auto"/>
          <w:highlight w:val="none"/>
        </w:rPr>
        <w:fldChar w:fldCharType="separate"/>
      </w:r>
      <w:r>
        <w:rPr>
          <w:rFonts w:hint="eastAsia" w:ascii="仿宋_GB2312" w:hAnsi="仿宋_GB2312" w:eastAsia="仿宋_GB2312" w:cs="仿宋_GB2312"/>
          <w:b/>
          <w:bCs/>
          <w:color w:val="auto"/>
          <w:sz w:val="24"/>
          <w:highlight w:val="none"/>
        </w:rPr>
        <w:t>第一章 投标人须知</w:t>
      </w:r>
      <w:r>
        <w:rPr>
          <w:b/>
          <w:bCs/>
          <w:color w:val="auto"/>
          <w:sz w:val="24"/>
          <w:highlight w:val="none"/>
        </w:rPr>
        <w:tab/>
      </w:r>
      <w:r>
        <w:rPr>
          <w:rFonts w:hint="eastAsia"/>
          <w:b/>
          <w:bCs/>
          <w:color w:val="auto"/>
          <w:sz w:val="24"/>
          <w:highlight w:val="none"/>
        </w:rPr>
        <w:t>4</w:t>
      </w:r>
      <w:r>
        <w:rPr>
          <w:rFonts w:hint="eastAsia"/>
          <w:b/>
          <w:bCs/>
          <w:color w:val="auto"/>
          <w:sz w:val="24"/>
          <w:highlight w:val="none"/>
        </w:rPr>
        <w:fldChar w:fldCharType="end"/>
      </w:r>
    </w:p>
    <w:p>
      <w:pPr>
        <w:pStyle w:val="14"/>
        <w:tabs>
          <w:tab w:val="right" w:leader="dot" w:pos="8306"/>
        </w:tabs>
        <w:spacing w:line="480" w:lineRule="auto"/>
        <w:rPr>
          <w:b/>
          <w:bCs/>
          <w:color w:val="auto"/>
          <w:sz w:val="24"/>
          <w:highlight w:val="none"/>
        </w:rPr>
      </w:pPr>
      <w:r>
        <w:rPr>
          <w:color w:val="auto"/>
          <w:highlight w:val="none"/>
        </w:rPr>
        <w:fldChar w:fldCharType="begin"/>
      </w:r>
      <w:r>
        <w:rPr>
          <w:color w:val="auto"/>
          <w:highlight w:val="none"/>
        </w:rPr>
        <w:instrText xml:space="preserve"> HYPERLINK \l "_Toc6403" </w:instrText>
      </w:r>
      <w:r>
        <w:rPr>
          <w:color w:val="auto"/>
          <w:highlight w:val="none"/>
        </w:rPr>
        <w:fldChar w:fldCharType="separate"/>
      </w:r>
      <w:r>
        <w:rPr>
          <w:rFonts w:hint="eastAsia" w:ascii="仿宋_GB2312" w:hAnsi="仿宋_GB2312" w:eastAsia="仿宋_GB2312" w:cs="仿宋_GB2312"/>
          <w:b/>
          <w:bCs/>
          <w:color w:val="auto"/>
          <w:sz w:val="24"/>
          <w:highlight w:val="none"/>
        </w:rPr>
        <w:t>第二章 投标文件内容及格式</w:t>
      </w:r>
      <w:r>
        <w:rPr>
          <w:b/>
          <w:bCs/>
          <w:color w:val="auto"/>
          <w:sz w:val="24"/>
          <w:highlight w:val="none"/>
        </w:rPr>
        <w:tab/>
      </w:r>
      <w:r>
        <w:rPr>
          <w:rFonts w:hint="eastAsia"/>
          <w:b/>
          <w:bCs/>
          <w:color w:val="auto"/>
          <w:sz w:val="24"/>
          <w:highlight w:val="none"/>
        </w:rPr>
        <w:t>2</w:t>
      </w:r>
      <w:r>
        <w:rPr>
          <w:rFonts w:hint="eastAsia"/>
          <w:b/>
          <w:bCs/>
          <w:color w:val="auto"/>
          <w:sz w:val="24"/>
          <w:highlight w:val="none"/>
        </w:rPr>
        <w:fldChar w:fldCharType="end"/>
      </w:r>
      <w:r>
        <w:rPr>
          <w:rFonts w:hint="eastAsia"/>
          <w:b/>
          <w:bCs/>
          <w:color w:val="auto"/>
          <w:sz w:val="24"/>
          <w:highlight w:val="none"/>
        </w:rPr>
        <w:t>0</w:t>
      </w:r>
    </w:p>
    <w:p>
      <w:pPr>
        <w:pStyle w:val="14"/>
        <w:tabs>
          <w:tab w:val="right" w:leader="dot" w:pos="8306"/>
        </w:tabs>
        <w:spacing w:line="480" w:lineRule="auto"/>
        <w:rPr>
          <w:rFonts w:hint="eastAsia" w:eastAsia="仿宋"/>
          <w:b/>
          <w:bCs/>
          <w:color w:val="auto"/>
          <w:sz w:val="24"/>
          <w:highlight w:val="none"/>
          <w:lang w:eastAsia="zh-CN"/>
        </w:rPr>
      </w:pPr>
      <w:r>
        <w:rPr>
          <w:color w:val="auto"/>
          <w:highlight w:val="none"/>
        </w:rPr>
        <w:fldChar w:fldCharType="begin"/>
      </w:r>
      <w:r>
        <w:rPr>
          <w:color w:val="auto"/>
          <w:highlight w:val="none"/>
        </w:rPr>
        <w:instrText xml:space="preserve"> HYPERLINK \l "_Toc17590" </w:instrText>
      </w:r>
      <w:r>
        <w:rPr>
          <w:color w:val="auto"/>
          <w:highlight w:val="none"/>
        </w:rPr>
        <w:fldChar w:fldCharType="separate"/>
      </w:r>
      <w:r>
        <w:rPr>
          <w:rFonts w:hint="eastAsia" w:ascii="仿宋_GB2312" w:hAnsi="仿宋_GB2312" w:eastAsia="仿宋_GB2312" w:cs="仿宋_GB2312"/>
          <w:b/>
          <w:bCs/>
          <w:color w:val="auto"/>
          <w:sz w:val="24"/>
          <w:highlight w:val="none"/>
        </w:rPr>
        <w:t>第三章 货物需求</w:t>
      </w:r>
      <w:r>
        <w:rPr>
          <w:b/>
          <w:bCs/>
          <w:color w:val="auto"/>
          <w:sz w:val="24"/>
          <w:highlight w:val="none"/>
        </w:rPr>
        <w:tab/>
      </w:r>
      <w:r>
        <w:rPr>
          <w:rFonts w:hint="eastAsia"/>
          <w:b/>
          <w:bCs/>
          <w:color w:val="auto"/>
          <w:sz w:val="24"/>
          <w:highlight w:val="none"/>
        </w:rPr>
        <w:t>4</w:t>
      </w:r>
      <w:r>
        <w:rPr>
          <w:rFonts w:hint="eastAsia"/>
          <w:b/>
          <w:bCs/>
          <w:color w:val="auto"/>
          <w:sz w:val="24"/>
          <w:highlight w:val="none"/>
        </w:rPr>
        <w:fldChar w:fldCharType="end"/>
      </w:r>
      <w:r>
        <w:rPr>
          <w:rFonts w:hint="eastAsia"/>
          <w:b/>
          <w:bCs/>
          <w:color w:val="auto"/>
          <w:sz w:val="24"/>
          <w:highlight w:val="none"/>
          <w:lang w:val="en-US" w:eastAsia="zh-CN"/>
        </w:rPr>
        <w:t>7</w:t>
      </w:r>
    </w:p>
    <w:p>
      <w:pPr>
        <w:pStyle w:val="14"/>
        <w:tabs>
          <w:tab w:val="right" w:leader="dot" w:pos="8306"/>
        </w:tabs>
        <w:spacing w:line="480" w:lineRule="auto"/>
        <w:rPr>
          <w:rFonts w:hint="eastAsia" w:eastAsia="仿宋"/>
          <w:b/>
          <w:bCs/>
          <w:color w:val="auto"/>
          <w:sz w:val="24"/>
          <w:highlight w:val="none"/>
          <w:lang w:eastAsia="zh-CN"/>
        </w:rPr>
      </w:pPr>
      <w:r>
        <w:rPr>
          <w:color w:val="auto"/>
          <w:highlight w:val="none"/>
        </w:rPr>
        <w:fldChar w:fldCharType="begin"/>
      </w:r>
      <w:r>
        <w:rPr>
          <w:color w:val="auto"/>
          <w:highlight w:val="none"/>
        </w:rPr>
        <w:instrText xml:space="preserve"> HYPERLINK \l "_Toc25237" </w:instrText>
      </w:r>
      <w:r>
        <w:rPr>
          <w:color w:val="auto"/>
          <w:highlight w:val="none"/>
        </w:rPr>
        <w:fldChar w:fldCharType="separate"/>
      </w:r>
      <w:r>
        <w:rPr>
          <w:rFonts w:hint="eastAsia" w:ascii="仿宋_GB2312" w:hAnsi="仿宋_GB2312" w:eastAsia="仿宋_GB2312" w:cs="仿宋_GB2312"/>
          <w:b/>
          <w:bCs/>
          <w:color w:val="auto"/>
          <w:sz w:val="24"/>
          <w:highlight w:val="none"/>
        </w:rPr>
        <w:t>第四章 评标方法</w:t>
      </w:r>
      <w:r>
        <w:rPr>
          <w:b/>
          <w:bCs/>
          <w:color w:val="auto"/>
          <w:sz w:val="24"/>
          <w:highlight w:val="none"/>
        </w:rPr>
        <w:tab/>
      </w:r>
      <w:r>
        <w:rPr>
          <w:rFonts w:hint="eastAsia"/>
          <w:b/>
          <w:bCs/>
          <w:color w:val="auto"/>
          <w:sz w:val="24"/>
          <w:highlight w:val="none"/>
        </w:rPr>
        <w:t>4</w:t>
      </w:r>
      <w:r>
        <w:rPr>
          <w:rFonts w:hint="eastAsia"/>
          <w:b/>
          <w:bCs/>
          <w:color w:val="auto"/>
          <w:sz w:val="24"/>
          <w:highlight w:val="none"/>
        </w:rPr>
        <w:fldChar w:fldCharType="end"/>
      </w:r>
      <w:r>
        <w:rPr>
          <w:rFonts w:hint="eastAsia"/>
          <w:b/>
          <w:bCs/>
          <w:color w:val="auto"/>
          <w:sz w:val="24"/>
          <w:highlight w:val="none"/>
          <w:lang w:val="en-US" w:eastAsia="zh-CN"/>
        </w:rPr>
        <w:t>8</w:t>
      </w:r>
    </w:p>
    <w:p>
      <w:pPr>
        <w:pStyle w:val="14"/>
        <w:tabs>
          <w:tab w:val="right" w:leader="dot" w:pos="8306"/>
        </w:tabs>
        <w:spacing w:line="480" w:lineRule="auto"/>
        <w:rPr>
          <w:rFonts w:hint="eastAsia" w:eastAsia="仿宋"/>
          <w:b/>
          <w:bCs/>
          <w:color w:val="auto"/>
          <w:sz w:val="24"/>
          <w:highlight w:val="none"/>
          <w:lang w:eastAsia="zh-CN"/>
        </w:rPr>
      </w:pPr>
      <w:r>
        <w:rPr>
          <w:color w:val="auto"/>
          <w:highlight w:val="none"/>
        </w:rPr>
        <w:fldChar w:fldCharType="begin"/>
      </w:r>
      <w:r>
        <w:rPr>
          <w:color w:val="auto"/>
          <w:highlight w:val="none"/>
        </w:rPr>
        <w:instrText xml:space="preserve"> HYPERLINK \l "_Toc19588" </w:instrText>
      </w:r>
      <w:r>
        <w:rPr>
          <w:color w:val="auto"/>
          <w:highlight w:val="none"/>
        </w:rPr>
        <w:fldChar w:fldCharType="separate"/>
      </w:r>
      <w:r>
        <w:rPr>
          <w:rFonts w:hint="eastAsia" w:ascii="仿宋_GB2312" w:hAnsi="仿宋_GB2312" w:eastAsia="仿宋_GB2312" w:cs="仿宋_GB2312"/>
          <w:b/>
          <w:bCs/>
          <w:color w:val="auto"/>
          <w:sz w:val="24"/>
          <w:highlight w:val="none"/>
        </w:rPr>
        <w:t>第五章 政府采购合同条款及格式</w:t>
      </w:r>
      <w:r>
        <w:rPr>
          <w:b/>
          <w:bCs/>
          <w:color w:val="auto"/>
          <w:sz w:val="24"/>
          <w:highlight w:val="none"/>
        </w:rPr>
        <w:tab/>
      </w:r>
      <w:r>
        <w:rPr>
          <w:b/>
          <w:bCs/>
          <w:color w:val="auto"/>
          <w:sz w:val="24"/>
          <w:highlight w:val="none"/>
        </w:rPr>
        <w:fldChar w:fldCharType="end"/>
      </w:r>
      <w:r>
        <w:rPr>
          <w:rFonts w:hint="eastAsia"/>
          <w:b/>
          <w:bCs/>
          <w:color w:val="auto"/>
          <w:sz w:val="24"/>
          <w:highlight w:val="none"/>
        </w:rPr>
        <w:t>5</w:t>
      </w:r>
      <w:r>
        <w:rPr>
          <w:rFonts w:hint="eastAsia"/>
          <w:b/>
          <w:bCs/>
          <w:color w:val="auto"/>
          <w:sz w:val="24"/>
          <w:highlight w:val="none"/>
          <w:lang w:val="en-US" w:eastAsia="zh-CN"/>
        </w:rPr>
        <w:t>7</w:t>
      </w:r>
    </w:p>
    <w:p>
      <w:pPr>
        <w:spacing w:line="480" w:lineRule="auto"/>
        <w:rPr>
          <w:color w:val="auto"/>
          <w:highlight w:val="none"/>
        </w:rPr>
      </w:pPr>
      <w:r>
        <w:rPr>
          <w:b/>
          <w:bCs/>
          <w:color w:val="auto"/>
          <w:sz w:val="24"/>
          <w:highlight w:val="none"/>
        </w:rPr>
        <w:fldChar w:fldCharType="end"/>
      </w:r>
    </w:p>
    <w:p>
      <w:pPr>
        <w:pStyle w:val="4"/>
        <w:rPr>
          <w:rFonts w:ascii="仿宋_GB2312" w:hAnsi="仿宋_GB2312" w:eastAsia="仿宋_GB2312" w:cs="仿宋_GB2312"/>
          <w:color w:val="auto"/>
          <w:highlight w:val="none"/>
        </w:rPr>
        <w:sectPr>
          <w:footerReference r:id="rId3" w:type="default"/>
          <w:pgSz w:w="11906" w:h="16838"/>
          <w:pgMar w:top="1440" w:right="1800" w:bottom="1440" w:left="1800" w:header="851" w:footer="992" w:gutter="0"/>
          <w:pgNumType w:start="1"/>
          <w:cols w:space="720" w:num="1"/>
          <w:docGrid w:type="linesAndChars" w:linePitch="312" w:charSpace="0"/>
        </w:sectPr>
      </w:pPr>
      <w:bookmarkStart w:id="0" w:name="_Toc7381"/>
      <w:bookmarkStart w:id="1" w:name="_Toc1124_WPSOffice_Level1"/>
    </w:p>
    <w:bookmarkEnd w:id="0"/>
    <w:bookmarkEnd w:id="1"/>
    <w:p>
      <w:pPr>
        <w:pStyle w:val="4"/>
        <w:rPr>
          <w:rFonts w:ascii="仿宋_GB2312" w:hAnsi="仿宋_GB2312" w:eastAsia="仿宋_GB2312" w:cs="仿宋_GB2312"/>
          <w:color w:val="auto"/>
          <w:sz w:val="36"/>
          <w:szCs w:val="36"/>
          <w:highlight w:val="none"/>
        </w:rPr>
      </w:pPr>
      <w:bookmarkStart w:id="2" w:name="_Toc9614"/>
      <w:bookmarkStart w:id="3" w:name="_Toc26518_WPSOffice_Level1"/>
      <w:r>
        <w:rPr>
          <w:rFonts w:hint="eastAsia" w:ascii="仿宋_GB2312" w:hAnsi="仿宋_GB2312" w:eastAsia="仿宋_GB2312" w:cs="仿宋_GB2312"/>
          <w:color w:val="auto"/>
          <w:sz w:val="36"/>
          <w:szCs w:val="36"/>
          <w:highlight w:val="none"/>
        </w:rPr>
        <w:t>沈阳建筑大学高分辨声学成像仪采购项目的</w:t>
      </w:r>
    </w:p>
    <w:p>
      <w:pPr>
        <w:pStyle w:val="4"/>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招标公告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沈阳建筑大学高分辨声学成像仪</w:t>
      </w:r>
      <w:r>
        <w:rPr>
          <w:rFonts w:hint="eastAsia" w:ascii="仿宋_GB2312" w:hAnsi="仿宋_GB2312" w:eastAsia="仿宋_GB2312" w:cs="仿宋_GB2312"/>
          <w:color w:val="auto"/>
          <w:szCs w:val="21"/>
          <w:highlight w:val="none"/>
        </w:rPr>
        <w:t>招标项目的潜在供应商应在</w:t>
      </w:r>
      <w:r>
        <w:rPr>
          <w:rFonts w:hint="eastAsia" w:ascii="仿宋_GB2312" w:hAnsi="仿宋_GB2312" w:eastAsia="仿宋_GB2312" w:cs="仿宋_GB2312"/>
          <w:color w:val="auto"/>
          <w:szCs w:val="21"/>
          <w:highlight w:val="none"/>
          <w:u w:val="single"/>
        </w:rPr>
        <w:t>辽宁政府采购网</w:t>
      </w:r>
      <w:r>
        <w:rPr>
          <w:rFonts w:hint="eastAsia" w:ascii="仿宋_GB2312" w:hAnsi="仿宋_GB2312" w:eastAsia="仿宋_GB2312" w:cs="仿宋_GB2312"/>
          <w:color w:val="auto"/>
          <w:szCs w:val="21"/>
          <w:highlight w:val="none"/>
        </w:rPr>
        <w:t>获取招标文件，并于</w:t>
      </w:r>
      <w:r>
        <w:rPr>
          <w:rFonts w:hint="eastAsia" w:ascii="仿宋_GB2312" w:hAnsi="仿宋_GB2312" w:eastAsia="仿宋_GB2312" w:cs="仿宋_GB2312"/>
          <w:color w:val="auto"/>
          <w:szCs w:val="21"/>
          <w:highlight w:val="none"/>
          <w:u w:val="single"/>
        </w:rPr>
        <w:t>2021</w:t>
      </w:r>
      <w:r>
        <w:rPr>
          <w:rFonts w:hint="eastAsia" w:ascii="仿宋_GB2312" w:hAnsi="仿宋_GB2312" w:eastAsia="仿宋_GB2312" w:cs="仿宋_GB2312"/>
          <w:bCs/>
          <w:color w:val="auto"/>
          <w:szCs w:val="21"/>
          <w:highlight w:val="none"/>
          <w:u w:val="single"/>
        </w:rPr>
        <w:t>年</w:t>
      </w:r>
      <w:r>
        <w:rPr>
          <w:rFonts w:hint="eastAsia" w:ascii="仿宋_GB2312" w:hAnsi="仿宋_GB2312" w:eastAsia="仿宋_GB2312" w:cs="仿宋_GB2312"/>
          <w:bCs/>
          <w:color w:val="auto"/>
          <w:szCs w:val="21"/>
          <w:highlight w:val="none"/>
          <w:u w:val="single"/>
          <w:lang w:val="en-US" w:eastAsia="zh-CN"/>
        </w:rPr>
        <w:t>09</w:t>
      </w:r>
      <w:r>
        <w:rPr>
          <w:rFonts w:hint="eastAsia" w:ascii="仿宋_GB2312" w:hAnsi="仿宋_GB2312" w:eastAsia="仿宋_GB2312" w:cs="仿宋_GB2312"/>
          <w:bCs/>
          <w:color w:val="auto"/>
          <w:szCs w:val="21"/>
          <w:highlight w:val="none"/>
          <w:u w:val="single"/>
        </w:rPr>
        <w:t>月</w:t>
      </w:r>
      <w:r>
        <w:rPr>
          <w:rFonts w:hint="eastAsia" w:ascii="仿宋_GB2312" w:hAnsi="仿宋_GB2312" w:eastAsia="仿宋_GB2312" w:cs="仿宋_GB2312"/>
          <w:bCs/>
          <w:color w:val="auto"/>
          <w:szCs w:val="21"/>
          <w:highlight w:val="none"/>
          <w:u w:val="single"/>
          <w:lang w:val="en-US" w:eastAsia="zh-CN"/>
        </w:rPr>
        <w:t>13</w:t>
      </w:r>
      <w:r>
        <w:rPr>
          <w:rFonts w:hint="eastAsia" w:ascii="仿宋_GB2312" w:hAnsi="仿宋_GB2312" w:eastAsia="仿宋_GB2312" w:cs="仿宋_GB2312"/>
          <w:bCs/>
          <w:color w:val="auto"/>
          <w:szCs w:val="21"/>
          <w:highlight w:val="none"/>
          <w:u w:val="single"/>
        </w:rPr>
        <w:t>日</w:t>
      </w:r>
      <w:r>
        <w:rPr>
          <w:rFonts w:hint="eastAsia" w:ascii="仿宋_GB2312" w:hAnsi="仿宋_GB2312" w:eastAsia="仿宋_GB2312" w:cs="仿宋_GB2312"/>
          <w:bCs/>
          <w:color w:val="auto"/>
          <w:szCs w:val="21"/>
          <w:highlight w:val="none"/>
          <w:u w:val="single"/>
          <w:lang w:val="en-US" w:eastAsia="zh-CN"/>
        </w:rPr>
        <w:t>13</w:t>
      </w:r>
      <w:r>
        <w:rPr>
          <w:rFonts w:hint="eastAsia" w:ascii="仿宋_GB2312" w:hAnsi="仿宋_GB2312" w:eastAsia="仿宋_GB2312" w:cs="仿宋_GB2312"/>
          <w:bCs/>
          <w:color w:val="auto"/>
          <w:szCs w:val="21"/>
          <w:highlight w:val="none"/>
          <w:u w:val="single"/>
        </w:rPr>
        <w:t>点</w:t>
      </w:r>
      <w:r>
        <w:rPr>
          <w:rFonts w:hint="eastAsia" w:ascii="仿宋_GB2312" w:hAnsi="仿宋_GB2312" w:eastAsia="仿宋_GB2312" w:cs="仿宋_GB2312"/>
          <w:bCs/>
          <w:color w:val="auto"/>
          <w:szCs w:val="21"/>
          <w:highlight w:val="none"/>
          <w:u w:val="single"/>
          <w:lang w:val="en-US" w:eastAsia="zh-CN"/>
        </w:rPr>
        <w:t>30</w:t>
      </w:r>
      <w:r>
        <w:rPr>
          <w:rFonts w:hint="eastAsia" w:ascii="仿宋_GB2312" w:hAnsi="仿宋_GB2312" w:eastAsia="仿宋_GB2312" w:cs="仿宋_GB2312"/>
          <w:bCs/>
          <w:color w:val="auto"/>
          <w:szCs w:val="21"/>
          <w:highlight w:val="none"/>
          <w:u w:val="single"/>
        </w:rPr>
        <w:t>分（</w:t>
      </w:r>
      <w:r>
        <w:rPr>
          <w:rFonts w:hint="eastAsia" w:ascii="仿宋_GB2312" w:hAnsi="仿宋_GB2312" w:eastAsia="仿宋_GB2312" w:cs="仿宋_GB2312"/>
          <w:bCs/>
          <w:color w:val="auto"/>
          <w:szCs w:val="21"/>
          <w:highlight w:val="none"/>
        </w:rPr>
        <w:t>北京时间）</w:t>
      </w:r>
      <w:r>
        <w:rPr>
          <w:rFonts w:hint="eastAsia" w:ascii="仿宋_GB2312" w:hAnsi="仿宋_GB2312" w:eastAsia="仿宋_GB2312" w:cs="仿宋_GB2312"/>
          <w:bCs/>
          <w:color w:val="auto"/>
          <w:szCs w:val="21"/>
          <w:highlight w:val="none"/>
        </w:rPr>
        <w:t>前递交投标文件</w:t>
      </w:r>
      <w:r>
        <w:rPr>
          <w:rFonts w:hint="eastAsia" w:ascii="仿宋_GB2312" w:hAnsi="仿宋_GB2312" w:eastAsia="仿宋_GB2312" w:cs="仿宋_GB2312"/>
          <w:color w:val="auto"/>
          <w:szCs w:val="21"/>
          <w:highlight w:val="none"/>
        </w:rPr>
        <w:t>。</w:t>
      </w:r>
    </w:p>
    <w:p>
      <w:pPr>
        <w:widowControl/>
        <w:adjustRightInd w:val="0"/>
        <w:snapToGrid w:val="0"/>
        <w:spacing w:line="360" w:lineRule="auto"/>
        <w:ind w:firstLine="420" w:firstLineChars="200"/>
        <w:jc w:val="lef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color w:val="auto"/>
          <w:kern w:val="0"/>
          <w:szCs w:val="21"/>
          <w:highlight w:val="none"/>
        </w:rPr>
        <w:t xml:space="preserve"> </w:t>
      </w:r>
    </w:p>
    <w:p>
      <w:pPr>
        <w:adjustRightInd w:val="0"/>
        <w:snapToGrid w:val="0"/>
        <w:spacing w:line="360" w:lineRule="auto"/>
        <w:rPr>
          <w:rFonts w:ascii="仿宋_GB2312" w:hAnsi="仿宋_GB2312" w:eastAsia="仿宋_GB2312" w:cs="仿宋_GB2312"/>
          <w:b/>
          <w:bCs/>
          <w:color w:val="auto"/>
          <w:szCs w:val="21"/>
          <w:highlight w:val="none"/>
        </w:rPr>
      </w:pPr>
      <w:bookmarkStart w:id="4" w:name="_Toc35393790"/>
      <w:bookmarkStart w:id="5" w:name="_Toc35393621"/>
      <w:bookmarkStart w:id="6" w:name="_Toc28359002"/>
      <w:bookmarkStart w:id="7" w:name="_Toc28359079"/>
      <w:bookmarkStart w:id="8" w:name="_Hlk24379207"/>
      <w:r>
        <w:rPr>
          <w:rFonts w:hint="eastAsia" w:ascii="仿宋_GB2312" w:hAnsi="仿宋_GB2312" w:eastAsia="仿宋_GB2312" w:cs="仿宋_GB2312"/>
          <w:b/>
          <w:bCs/>
          <w:color w:val="auto"/>
          <w:szCs w:val="21"/>
          <w:highlight w:val="none"/>
        </w:rPr>
        <w:t>一、项目基本情况</w:t>
      </w:r>
      <w:bookmarkEnd w:id="4"/>
      <w:bookmarkEnd w:id="5"/>
      <w:bookmarkEnd w:id="6"/>
      <w:bookmarkEnd w:id="7"/>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项目编号：</w:t>
      </w:r>
      <w:r>
        <w:rPr>
          <w:rFonts w:hint="eastAsia" w:ascii="仿宋_GB2312" w:hAnsi="仿宋_GB2312" w:eastAsia="仿宋_GB2312" w:cs="仿宋_GB2312"/>
          <w:color w:val="auto"/>
          <w:szCs w:val="21"/>
          <w:highlight w:val="none"/>
          <w:lang w:val="en-US" w:eastAsia="zh-CN"/>
        </w:rPr>
        <w:t>JH21-210000-44641</w:t>
      </w:r>
    </w:p>
    <w:p>
      <w:pPr>
        <w:adjustRightInd w:val="0"/>
        <w:snapToGrid w:val="0"/>
        <w:spacing w:line="360" w:lineRule="auto"/>
        <w:ind w:firstLine="420" w:firstLineChars="200"/>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项目名称：沈阳建筑大学高分辨声学成像仪采购项目</w:t>
      </w:r>
      <w:bookmarkEnd w:id="8"/>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包组编号：001 </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预算金额</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元</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：1,100,000.00</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最高限价</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元</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 xml:space="preserve">：1,100,000.00 </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采购需求：查看 </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合同履行期限：合同签订后45日历天</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需落实的政府采购政策内容：小微企业/监狱企业/残疾人福利性单位/节能产品、环境标志产品/列入《辽宁省创新产品和服务目录》内的产品、服务</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本项目（是/否）接受联合体投标：否  </w:t>
      </w:r>
      <w:bookmarkStart w:id="216" w:name="_GoBack"/>
      <w:bookmarkEnd w:id="216"/>
    </w:p>
    <w:p>
      <w:pPr>
        <w:adjustRightInd w:val="0"/>
        <w:snapToGrid w:val="0"/>
        <w:spacing w:line="360" w:lineRule="auto"/>
        <w:rPr>
          <w:rFonts w:ascii="仿宋_GB2312" w:hAnsi="仿宋_GB2312" w:eastAsia="仿宋_GB2312" w:cs="仿宋_GB2312"/>
          <w:b/>
          <w:bCs/>
          <w:color w:val="auto"/>
          <w:szCs w:val="21"/>
          <w:highlight w:val="none"/>
        </w:rPr>
      </w:pPr>
      <w:bookmarkStart w:id="9" w:name="_Toc28359003"/>
      <w:bookmarkStart w:id="10" w:name="_Toc35393622"/>
      <w:bookmarkStart w:id="11" w:name="_Toc28359080"/>
      <w:bookmarkStart w:id="12" w:name="_Toc35393791"/>
      <w:r>
        <w:rPr>
          <w:rFonts w:hint="eastAsia" w:ascii="仿宋_GB2312" w:hAnsi="仿宋_GB2312" w:eastAsia="仿宋_GB2312" w:cs="仿宋_GB2312"/>
          <w:b/>
          <w:bCs/>
          <w:color w:val="auto"/>
          <w:szCs w:val="21"/>
          <w:highlight w:val="none"/>
        </w:rPr>
        <w:t>二、供应商的资格要求：</w:t>
      </w:r>
      <w:bookmarkEnd w:id="9"/>
      <w:bookmarkEnd w:id="10"/>
      <w:bookmarkEnd w:id="11"/>
      <w:bookmarkEnd w:id="12"/>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1.满足《中华人民共和国政府采购法》第二十二条规定；</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bookmarkStart w:id="13" w:name="_Toc28359081"/>
      <w:bookmarkStart w:id="14" w:name="_Toc28359004"/>
      <w:r>
        <w:rPr>
          <w:rFonts w:hint="eastAsia" w:ascii="仿宋_GB2312" w:hAnsi="仿宋_GB2312" w:eastAsia="仿宋_GB2312" w:cs="仿宋_GB2312"/>
          <w:color w:val="auto"/>
          <w:szCs w:val="21"/>
          <w:highlight w:val="none"/>
        </w:rPr>
        <w:t>2.落实政府采购政策需满足的资格要求：无；</w:t>
      </w:r>
    </w:p>
    <w:p>
      <w:pPr>
        <w:adjustRightInd w:val="0"/>
        <w:snapToGrid w:val="0"/>
        <w:spacing w:line="360" w:lineRule="auto"/>
        <w:ind w:firstLine="420" w:firstLineChars="200"/>
        <w:rPr>
          <w:rFonts w:ascii="仿宋_GB2312" w:hAnsi="仿宋_GB2312" w:eastAsia="仿宋_GB2312" w:cs="仿宋_GB2312"/>
          <w:i/>
          <w:iCs/>
          <w:color w:val="auto"/>
          <w:szCs w:val="21"/>
          <w:highlight w:val="none"/>
          <w:u w:val="single"/>
        </w:rPr>
      </w:pPr>
      <w:r>
        <w:rPr>
          <w:rFonts w:hint="eastAsia" w:ascii="仿宋_GB2312" w:hAnsi="仿宋_GB2312" w:eastAsia="仿宋_GB2312" w:cs="仿宋_GB2312"/>
          <w:color w:val="auto"/>
          <w:szCs w:val="21"/>
          <w:highlight w:val="none"/>
        </w:rPr>
        <w:t>3.本项目的特定资格要求：无。</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三、政府采购供应商入库须知</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bookmarkStart w:id="15" w:name="_Toc35393792"/>
      <w:bookmarkStart w:id="16" w:name="_Toc35393623"/>
      <w:r>
        <w:rPr>
          <w:rFonts w:hint="eastAsia" w:ascii="仿宋_GB2312" w:hAnsi="仿宋_GB2312" w:eastAsia="仿宋_GB2312" w:cs="仿宋_GB2312"/>
          <w:color w:val="auto"/>
          <w:szCs w:val="21"/>
          <w:highlight w:val="none"/>
        </w:rPr>
        <w:t>参加辽宁省政府采购活动的供应商未进入辽宁省政府采购供应商库的，请详阅辽宁政府采购网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四、获取招标文件</w:t>
      </w:r>
      <w:bookmarkEnd w:id="13"/>
      <w:bookmarkEnd w:id="14"/>
      <w:bookmarkEnd w:id="15"/>
      <w:bookmarkEnd w:id="16"/>
    </w:p>
    <w:p>
      <w:pPr>
        <w:adjustRightInd w:val="0"/>
        <w:snapToGrid w:val="0"/>
        <w:spacing w:line="360" w:lineRule="auto"/>
        <w:ind w:firstLine="54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时间：</w:t>
      </w:r>
      <w:r>
        <w:rPr>
          <w:rFonts w:hint="eastAsia" w:ascii="仿宋_GB2312" w:hAnsi="仿宋_GB2312" w:eastAsia="仿宋_GB2312" w:cs="仿宋_GB2312"/>
          <w:color w:val="auto"/>
          <w:szCs w:val="21"/>
          <w:highlight w:val="none"/>
          <w:u w:val="single"/>
        </w:rPr>
        <w:t>2021年</w:t>
      </w:r>
      <w:r>
        <w:rPr>
          <w:rFonts w:hint="eastAsia" w:ascii="仿宋_GB2312" w:hAnsi="仿宋_GB2312" w:eastAsia="仿宋_GB2312" w:cs="仿宋_GB2312"/>
          <w:color w:val="auto"/>
          <w:szCs w:val="21"/>
          <w:highlight w:val="none"/>
          <w:u w:val="single"/>
          <w:lang w:val="en-US" w:eastAsia="zh-CN"/>
        </w:rPr>
        <w:t>08</w:t>
      </w:r>
      <w:r>
        <w:rPr>
          <w:rFonts w:hint="eastAsia" w:ascii="仿宋_GB2312" w:hAnsi="仿宋_GB2312" w:eastAsia="仿宋_GB2312" w:cs="仿宋_GB2312"/>
          <w:color w:val="auto"/>
          <w:szCs w:val="21"/>
          <w:highlight w:val="none"/>
          <w:u w:val="single"/>
        </w:rPr>
        <w:t>月</w:t>
      </w:r>
      <w:r>
        <w:rPr>
          <w:rFonts w:hint="eastAsia" w:ascii="仿宋_GB2312" w:hAnsi="仿宋_GB2312" w:eastAsia="仿宋_GB2312" w:cs="仿宋_GB2312"/>
          <w:color w:val="auto"/>
          <w:szCs w:val="21"/>
          <w:highlight w:val="none"/>
          <w:u w:val="single"/>
          <w:lang w:val="en-US" w:eastAsia="zh-CN"/>
        </w:rPr>
        <w:t>23</w:t>
      </w:r>
      <w:r>
        <w:rPr>
          <w:rFonts w:hint="eastAsia" w:ascii="仿宋_GB2312" w:hAnsi="仿宋_GB2312" w:eastAsia="仿宋_GB2312" w:cs="仿宋_GB2312"/>
          <w:color w:val="auto"/>
          <w:szCs w:val="21"/>
          <w:highlight w:val="none"/>
          <w:u w:val="single"/>
        </w:rPr>
        <w:t>日</w:t>
      </w:r>
      <w:r>
        <w:rPr>
          <w:rFonts w:hint="eastAsia" w:ascii="仿宋_GB2312" w:hAnsi="仿宋_GB2312" w:eastAsia="仿宋_GB2312" w:cs="仿宋_GB2312"/>
          <w:color w:val="auto"/>
          <w:szCs w:val="21"/>
          <w:highlight w:val="none"/>
        </w:rPr>
        <w:t>至</w:t>
      </w:r>
      <w:r>
        <w:rPr>
          <w:rFonts w:hint="eastAsia" w:ascii="仿宋_GB2312" w:hAnsi="仿宋_GB2312" w:eastAsia="仿宋_GB2312" w:cs="仿宋_GB2312"/>
          <w:color w:val="auto"/>
          <w:szCs w:val="21"/>
          <w:highlight w:val="none"/>
          <w:u w:val="single"/>
        </w:rPr>
        <w:t>2021年</w:t>
      </w:r>
      <w:r>
        <w:rPr>
          <w:rFonts w:hint="eastAsia" w:ascii="仿宋_GB2312" w:hAnsi="仿宋_GB2312" w:eastAsia="仿宋_GB2312" w:cs="仿宋_GB2312"/>
          <w:color w:val="auto"/>
          <w:szCs w:val="21"/>
          <w:highlight w:val="none"/>
          <w:u w:val="single"/>
          <w:lang w:val="en-US" w:eastAsia="zh-CN"/>
        </w:rPr>
        <w:t>08</w:t>
      </w:r>
      <w:r>
        <w:rPr>
          <w:rFonts w:hint="eastAsia" w:ascii="仿宋_GB2312" w:hAnsi="仿宋_GB2312" w:eastAsia="仿宋_GB2312" w:cs="仿宋_GB2312"/>
          <w:color w:val="auto"/>
          <w:szCs w:val="21"/>
          <w:highlight w:val="none"/>
          <w:u w:val="single"/>
        </w:rPr>
        <w:t>月</w:t>
      </w:r>
      <w:r>
        <w:rPr>
          <w:rFonts w:hint="eastAsia" w:ascii="仿宋_GB2312" w:hAnsi="仿宋_GB2312" w:eastAsia="仿宋_GB2312" w:cs="仿宋_GB2312"/>
          <w:color w:val="auto"/>
          <w:szCs w:val="21"/>
          <w:highlight w:val="none"/>
          <w:u w:val="single"/>
          <w:lang w:val="en-US" w:eastAsia="zh-CN"/>
        </w:rPr>
        <w:t>30</w:t>
      </w:r>
      <w:r>
        <w:rPr>
          <w:rFonts w:hint="eastAsia" w:ascii="仿宋_GB2312" w:hAnsi="仿宋_GB2312" w:eastAsia="仿宋_GB2312" w:cs="仿宋_GB2312"/>
          <w:color w:val="auto"/>
          <w:szCs w:val="21"/>
          <w:highlight w:val="none"/>
          <w:u w:val="single"/>
        </w:rPr>
        <w:t>日</w:t>
      </w:r>
      <w:r>
        <w:rPr>
          <w:rFonts w:hint="eastAsia" w:ascii="仿宋_GB2312" w:hAnsi="仿宋_GB2312" w:eastAsia="仿宋_GB2312" w:cs="仿宋_GB2312"/>
          <w:color w:val="auto"/>
          <w:szCs w:val="21"/>
          <w:highlight w:val="none"/>
        </w:rPr>
        <w:t>，每天上午</w:t>
      </w:r>
      <w:r>
        <w:rPr>
          <w:rFonts w:hint="eastAsia" w:ascii="仿宋_GB2312" w:hAnsi="仿宋_GB2312" w:eastAsia="仿宋_GB2312" w:cs="仿宋_GB2312"/>
          <w:color w:val="auto"/>
          <w:szCs w:val="21"/>
          <w:highlight w:val="none"/>
          <w:u w:val="single"/>
        </w:rPr>
        <w:t>08:30</w:t>
      </w:r>
      <w:r>
        <w:rPr>
          <w:rFonts w:hint="eastAsia" w:ascii="仿宋_GB2312" w:hAnsi="仿宋_GB2312" w:eastAsia="仿宋_GB2312" w:cs="仿宋_GB2312"/>
          <w:color w:val="auto"/>
          <w:szCs w:val="21"/>
          <w:highlight w:val="none"/>
        </w:rPr>
        <w:t>至</w:t>
      </w:r>
      <w:r>
        <w:rPr>
          <w:rFonts w:hint="eastAsia" w:ascii="仿宋_GB2312" w:hAnsi="仿宋_GB2312" w:eastAsia="仿宋_GB2312" w:cs="仿宋_GB2312"/>
          <w:color w:val="auto"/>
          <w:szCs w:val="21"/>
          <w:highlight w:val="none"/>
          <w:u w:val="single"/>
        </w:rPr>
        <w:t>11:30</w:t>
      </w:r>
      <w:r>
        <w:rPr>
          <w:rFonts w:hint="eastAsia" w:ascii="仿宋_GB2312" w:hAnsi="仿宋_GB2312" w:eastAsia="仿宋_GB2312" w:cs="仿宋_GB2312"/>
          <w:color w:val="auto"/>
          <w:szCs w:val="21"/>
          <w:highlight w:val="none"/>
        </w:rPr>
        <w:t>，下午</w:t>
      </w:r>
      <w:r>
        <w:rPr>
          <w:rFonts w:hint="eastAsia" w:ascii="仿宋_GB2312" w:hAnsi="仿宋_GB2312" w:eastAsia="仿宋_GB2312" w:cs="仿宋_GB2312"/>
          <w:color w:val="auto"/>
          <w:szCs w:val="21"/>
          <w:highlight w:val="none"/>
          <w:u w:val="single"/>
        </w:rPr>
        <w:t>13:00</w:t>
      </w:r>
      <w:r>
        <w:rPr>
          <w:rFonts w:hint="eastAsia" w:ascii="仿宋_GB2312" w:hAnsi="仿宋_GB2312" w:eastAsia="仿宋_GB2312" w:cs="仿宋_GB2312"/>
          <w:color w:val="auto"/>
          <w:szCs w:val="21"/>
          <w:highlight w:val="none"/>
        </w:rPr>
        <w:t>至</w:t>
      </w:r>
      <w:r>
        <w:rPr>
          <w:rFonts w:hint="eastAsia" w:ascii="仿宋_GB2312" w:hAnsi="仿宋_GB2312" w:eastAsia="仿宋_GB2312" w:cs="仿宋_GB2312"/>
          <w:color w:val="auto"/>
          <w:szCs w:val="21"/>
          <w:highlight w:val="none"/>
          <w:u w:val="single"/>
        </w:rPr>
        <w:t>16:00</w:t>
      </w:r>
      <w:r>
        <w:rPr>
          <w:rFonts w:hint="eastAsia" w:ascii="仿宋_GB2312" w:hAnsi="仿宋_GB2312" w:eastAsia="仿宋_GB2312" w:cs="仿宋_GB2312"/>
          <w:color w:val="auto"/>
          <w:szCs w:val="21"/>
          <w:highlight w:val="none"/>
        </w:rPr>
        <w:t>（北京时间，法定节假日除外）</w:t>
      </w:r>
    </w:p>
    <w:p>
      <w:pPr>
        <w:adjustRightInd w:val="0"/>
        <w:snapToGrid w:val="0"/>
        <w:spacing w:line="360" w:lineRule="auto"/>
        <w:ind w:firstLine="54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地点：辽宁政府采购网</w:t>
      </w:r>
    </w:p>
    <w:p>
      <w:pPr>
        <w:adjustRightInd w:val="0"/>
        <w:snapToGrid w:val="0"/>
        <w:spacing w:line="360" w:lineRule="auto"/>
        <w:ind w:firstLine="54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方式：在线下载</w:t>
      </w:r>
    </w:p>
    <w:p>
      <w:pPr>
        <w:adjustRightInd w:val="0"/>
        <w:snapToGrid w:val="0"/>
        <w:spacing w:line="360" w:lineRule="auto"/>
        <w:ind w:firstLine="54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售价：免费</w:t>
      </w:r>
    </w:p>
    <w:p>
      <w:pPr>
        <w:adjustRightInd w:val="0"/>
        <w:snapToGrid w:val="0"/>
        <w:spacing w:line="360" w:lineRule="auto"/>
        <w:rPr>
          <w:rFonts w:ascii="仿宋_GB2312" w:hAnsi="仿宋_GB2312" w:eastAsia="仿宋_GB2312" w:cs="仿宋_GB2312"/>
          <w:b/>
          <w:bCs/>
          <w:color w:val="auto"/>
          <w:szCs w:val="21"/>
          <w:highlight w:val="none"/>
        </w:rPr>
      </w:pPr>
      <w:bookmarkStart w:id="17" w:name="_Toc28359082"/>
      <w:bookmarkStart w:id="18" w:name="_Toc28359005"/>
      <w:bookmarkStart w:id="19" w:name="_Toc35393793"/>
      <w:bookmarkStart w:id="20" w:name="_Toc35393624"/>
      <w:r>
        <w:rPr>
          <w:rFonts w:hint="eastAsia" w:ascii="仿宋_GB2312" w:hAnsi="仿宋_GB2312" w:eastAsia="仿宋_GB2312" w:cs="仿宋_GB2312"/>
          <w:b/>
          <w:bCs/>
          <w:color w:val="auto"/>
          <w:szCs w:val="21"/>
          <w:highlight w:val="none"/>
        </w:rPr>
        <w:t>五、提交投标文件</w:t>
      </w:r>
      <w:bookmarkEnd w:id="17"/>
      <w:bookmarkEnd w:id="18"/>
      <w:r>
        <w:rPr>
          <w:rFonts w:hint="eastAsia" w:ascii="仿宋_GB2312" w:hAnsi="仿宋_GB2312" w:eastAsia="仿宋_GB2312" w:cs="仿宋_GB2312"/>
          <w:b/>
          <w:bCs/>
          <w:color w:val="auto"/>
          <w:szCs w:val="21"/>
          <w:highlight w:val="none"/>
        </w:rPr>
        <w:t>截止时间、开标时间和地点</w:t>
      </w:r>
      <w:bookmarkEnd w:id="19"/>
      <w:bookmarkEnd w:id="20"/>
    </w:p>
    <w:p>
      <w:pPr>
        <w:adjustRightInd w:val="0"/>
        <w:snapToGrid w:val="0"/>
        <w:spacing w:line="360" w:lineRule="auto"/>
        <w:ind w:firstLine="420" w:firstLineChars="200"/>
        <w:rPr>
          <w:rFonts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时间：</w:t>
      </w:r>
      <w:r>
        <w:rPr>
          <w:rFonts w:hint="eastAsia" w:ascii="仿宋_GB2312" w:hAnsi="仿宋_GB2312" w:eastAsia="仿宋_GB2312" w:cs="仿宋_GB2312"/>
          <w:bCs/>
          <w:color w:val="auto"/>
          <w:szCs w:val="21"/>
          <w:highlight w:val="none"/>
          <w:u w:val="single"/>
        </w:rPr>
        <w:t>2021年</w:t>
      </w:r>
      <w:r>
        <w:rPr>
          <w:rFonts w:hint="eastAsia" w:ascii="仿宋_GB2312" w:hAnsi="仿宋_GB2312" w:eastAsia="仿宋_GB2312" w:cs="仿宋_GB2312"/>
          <w:bCs/>
          <w:color w:val="auto"/>
          <w:szCs w:val="21"/>
          <w:highlight w:val="none"/>
          <w:u w:val="single"/>
          <w:lang w:val="en-US" w:eastAsia="zh-CN"/>
        </w:rPr>
        <w:t>09</w:t>
      </w:r>
      <w:r>
        <w:rPr>
          <w:rFonts w:hint="eastAsia" w:ascii="仿宋_GB2312" w:hAnsi="仿宋_GB2312" w:eastAsia="仿宋_GB2312" w:cs="仿宋_GB2312"/>
          <w:bCs/>
          <w:color w:val="auto"/>
          <w:szCs w:val="21"/>
          <w:highlight w:val="none"/>
          <w:u w:val="single"/>
        </w:rPr>
        <w:t>月</w:t>
      </w:r>
      <w:r>
        <w:rPr>
          <w:rFonts w:hint="eastAsia" w:ascii="仿宋_GB2312" w:hAnsi="仿宋_GB2312" w:eastAsia="仿宋_GB2312" w:cs="仿宋_GB2312"/>
          <w:bCs/>
          <w:color w:val="auto"/>
          <w:szCs w:val="21"/>
          <w:highlight w:val="none"/>
          <w:u w:val="single"/>
          <w:lang w:val="en-US" w:eastAsia="zh-CN"/>
        </w:rPr>
        <w:t>13</w:t>
      </w:r>
      <w:r>
        <w:rPr>
          <w:rFonts w:hint="eastAsia" w:ascii="仿宋_GB2312" w:hAnsi="仿宋_GB2312" w:eastAsia="仿宋_GB2312" w:cs="仿宋_GB2312"/>
          <w:bCs/>
          <w:color w:val="auto"/>
          <w:szCs w:val="21"/>
          <w:highlight w:val="none"/>
          <w:u w:val="single"/>
        </w:rPr>
        <w:t>日</w:t>
      </w:r>
      <w:r>
        <w:rPr>
          <w:rFonts w:hint="eastAsia" w:ascii="仿宋_GB2312" w:hAnsi="仿宋_GB2312" w:eastAsia="仿宋_GB2312" w:cs="仿宋_GB2312"/>
          <w:bCs/>
          <w:color w:val="auto"/>
          <w:szCs w:val="21"/>
          <w:highlight w:val="none"/>
          <w:u w:val="single"/>
          <w:lang w:val="en-US" w:eastAsia="zh-CN"/>
        </w:rPr>
        <w:t>13</w:t>
      </w:r>
      <w:r>
        <w:rPr>
          <w:rFonts w:hint="eastAsia" w:ascii="仿宋_GB2312" w:hAnsi="仿宋_GB2312" w:eastAsia="仿宋_GB2312" w:cs="仿宋_GB2312"/>
          <w:bCs/>
          <w:color w:val="auto"/>
          <w:szCs w:val="21"/>
          <w:highlight w:val="none"/>
          <w:u w:val="single"/>
        </w:rPr>
        <w:t>点</w:t>
      </w:r>
      <w:r>
        <w:rPr>
          <w:rFonts w:hint="eastAsia" w:ascii="仿宋_GB2312" w:hAnsi="仿宋_GB2312" w:eastAsia="仿宋_GB2312" w:cs="仿宋_GB2312"/>
          <w:bCs/>
          <w:color w:val="auto"/>
          <w:szCs w:val="21"/>
          <w:highlight w:val="none"/>
          <w:u w:val="single"/>
          <w:lang w:val="en-US" w:eastAsia="zh-CN"/>
        </w:rPr>
        <w:t>30</w:t>
      </w:r>
      <w:r>
        <w:rPr>
          <w:rFonts w:hint="eastAsia" w:ascii="仿宋_GB2312" w:hAnsi="仿宋_GB2312" w:eastAsia="仿宋_GB2312" w:cs="仿宋_GB2312"/>
          <w:bCs/>
          <w:color w:val="auto"/>
          <w:szCs w:val="21"/>
          <w:highlight w:val="none"/>
          <w:u w:val="single"/>
        </w:rPr>
        <w:t>分</w:t>
      </w:r>
      <w:r>
        <w:rPr>
          <w:rFonts w:hint="eastAsia" w:ascii="仿宋_GB2312" w:hAnsi="仿宋_GB2312" w:eastAsia="仿宋_GB2312" w:cs="仿宋_GB2312"/>
          <w:bCs/>
          <w:color w:val="auto"/>
          <w:szCs w:val="21"/>
          <w:highlight w:val="none"/>
        </w:rPr>
        <w:t>（北京时间）</w:t>
      </w:r>
    </w:p>
    <w:p>
      <w:pPr>
        <w:adjustRightInd w:val="0"/>
        <w:snapToGrid w:val="0"/>
        <w:spacing w:line="360" w:lineRule="auto"/>
        <w:ind w:firstLine="420" w:firstLineChars="200"/>
        <w:rPr>
          <w:rFonts w:ascii="仿宋_GB2312" w:hAnsi="仿宋_GB2312" w:eastAsia="仿宋_GB2312" w:cs="仿宋_GB2312"/>
          <w:bCs/>
          <w:color w:val="auto"/>
          <w:szCs w:val="21"/>
          <w:highlight w:val="none"/>
          <w:u w:val="single"/>
        </w:rPr>
      </w:pPr>
      <w:r>
        <w:rPr>
          <w:rFonts w:hint="eastAsia" w:ascii="仿宋_GB2312" w:hAnsi="仿宋_GB2312" w:eastAsia="仿宋_GB2312" w:cs="仿宋_GB2312"/>
          <w:color w:val="auto"/>
          <w:szCs w:val="21"/>
          <w:highlight w:val="none"/>
        </w:rPr>
        <w:t>地点：</w:t>
      </w:r>
      <w:r>
        <w:rPr>
          <w:rFonts w:hint="eastAsia" w:ascii="仿宋_GB2312" w:hAnsi="仿宋_GB2312" w:eastAsia="仿宋_GB2312" w:cs="仿宋_GB2312"/>
          <w:color w:val="auto"/>
          <w:szCs w:val="21"/>
          <w:highlight w:val="none"/>
          <w:u w:val="single"/>
        </w:rPr>
        <w:t>辽宁政府采购网电子评审系统上传提交电子文件，现场密封递交可加密备份文件（U盘），递交至辽宁乔泰全过程项目管理有限公司三楼开标室</w:t>
      </w:r>
    </w:p>
    <w:p>
      <w:pPr>
        <w:adjustRightInd w:val="0"/>
        <w:snapToGrid w:val="0"/>
        <w:spacing w:line="360" w:lineRule="auto"/>
        <w:rPr>
          <w:rFonts w:ascii="仿宋_GB2312" w:hAnsi="仿宋_GB2312" w:eastAsia="仿宋_GB2312" w:cs="仿宋_GB2312"/>
          <w:b/>
          <w:bCs/>
          <w:color w:val="auto"/>
          <w:szCs w:val="21"/>
          <w:highlight w:val="none"/>
        </w:rPr>
      </w:pPr>
      <w:bookmarkStart w:id="21" w:name="_Toc35393794"/>
      <w:bookmarkStart w:id="22" w:name="_Toc28359007"/>
      <w:bookmarkStart w:id="23" w:name="_Toc35393625"/>
      <w:bookmarkStart w:id="24" w:name="_Toc28359084"/>
      <w:r>
        <w:rPr>
          <w:rFonts w:hint="eastAsia" w:ascii="仿宋_GB2312" w:hAnsi="仿宋_GB2312" w:eastAsia="仿宋_GB2312" w:cs="仿宋_GB2312"/>
          <w:b/>
          <w:bCs/>
          <w:color w:val="auto"/>
          <w:szCs w:val="21"/>
          <w:highlight w:val="none"/>
        </w:rPr>
        <w:t>六、公告期限</w:t>
      </w:r>
      <w:bookmarkEnd w:id="21"/>
      <w:bookmarkEnd w:id="22"/>
      <w:bookmarkEnd w:id="23"/>
      <w:bookmarkEnd w:id="24"/>
    </w:p>
    <w:p>
      <w:pPr>
        <w:adjustRightInd w:val="0"/>
        <w:snapToGrid w:val="0"/>
        <w:spacing w:line="360" w:lineRule="auto"/>
        <w:ind w:firstLine="420"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自本公告发布之日起5个工作日。</w:t>
      </w:r>
    </w:p>
    <w:p>
      <w:pPr>
        <w:keepNext/>
        <w:keepLines/>
        <w:adjustRightInd w:val="0"/>
        <w:snapToGrid w:val="0"/>
        <w:spacing w:line="360" w:lineRule="auto"/>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七、质疑与投诉</w:t>
      </w:r>
    </w:p>
    <w:p>
      <w:pPr>
        <w:widowControl/>
        <w:adjustRightInd w:val="0"/>
        <w:snapToGrid w:val="0"/>
        <w:spacing w:line="360" w:lineRule="auto"/>
        <w:ind w:firstLine="539"/>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供应商认为自己的权益受到损害的，可以在知道或者应知其权益受到损害之日起七个工作日内，向采购代理机构或采购人提出质疑。</w:t>
      </w:r>
    </w:p>
    <w:p>
      <w:pPr>
        <w:widowControl/>
        <w:adjustRightInd w:val="0"/>
        <w:snapToGrid w:val="0"/>
        <w:spacing w:line="360" w:lineRule="auto"/>
        <w:ind w:firstLine="48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1、接收质疑函方式：书面纸质质疑函</w:t>
      </w:r>
    </w:p>
    <w:p>
      <w:pPr>
        <w:widowControl/>
        <w:adjustRightInd w:val="0"/>
        <w:snapToGrid w:val="0"/>
        <w:spacing w:line="360" w:lineRule="auto"/>
        <w:ind w:firstLine="48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2、质疑函内容、格式：应符合《政府采购质疑和投诉办法》相关规定和财政部制定的《政府采购质疑函范本》格式，详见辽宁政府采购网。</w:t>
      </w:r>
    </w:p>
    <w:p>
      <w:pPr>
        <w:widowControl/>
        <w:adjustRightInd w:val="0"/>
        <w:snapToGrid w:val="0"/>
        <w:spacing w:line="360" w:lineRule="auto"/>
        <w:ind w:firstLine="48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质疑供应商对采购人、采购代理机构的答复不满意，或者采购人、采购代理机构未在规定时间内作出答复的，可以在答复期满后15个工作日内向本级财政部门提起投诉。</w:t>
      </w:r>
    </w:p>
    <w:p>
      <w:pPr>
        <w:adjustRightInd w:val="0"/>
        <w:snapToGrid w:val="0"/>
        <w:spacing w:line="360" w:lineRule="auto"/>
        <w:rPr>
          <w:rFonts w:ascii="仿宋_GB2312" w:hAnsi="仿宋_GB2312" w:eastAsia="仿宋_GB2312" w:cs="仿宋_GB2312"/>
          <w:b/>
          <w:bCs/>
          <w:color w:val="auto"/>
          <w:szCs w:val="21"/>
          <w:highlight w:val="none"/>
        </w:rPr>
      </w:pPr>
      <w:bookmarkStart w:id="25" w:name="_Toc35393795"/>
      <w:bookmarkStart w:id="26" w:name="_Toc35393626"/>
      <w:r>
        <w:rPr>
          <w:rFonts w:hint="eastAsia" w:ascii="仿宋_GB2312" w:hAnsi="仿宋_GB2312" w:eastAsia="仿宋_GB2312" w:cs="仿宋_GB2312"/>
          <w:b/>
          <w:bCs/>
          <w:color w:val="auto"/>
          <w:szCs w:val="21"/>
          <w:highlight w:val="none"/>
        </w:rPr>
        <w:t>八、其他补充事宜</w:t>
      </w:r>
      <w:bookmarkEnd w:id="25"/>
      <w:bookmarkEnd w:id="26"/>
    </w:p>
    <w:p>
      <w:pPr>
        <w:widowControl/>
        <w:adjustRightInd w:val="0"/>
        <w:snapToGrid w:val="0"/>
        <w:spacing w:line="360" w:lineRule="auto"/>
        <w:ind w:firstLine="480"/>
        <w:jc w:val="left"/>
        <w:rPr>
          <w:rFonts w:ascii="仿宋_GB2312" w:hAnsi="仿宋_GB2312" w:eastAsia="仿宋_GB2312" w:cs="仿宋_GB2312"/>
          <w:color w:val="auto"/>
          <w:szCs w:val="21"/>
          <w:highlight w:val="none"/>
        </w:rPr>
      </w:pPr>
      <w:bookmarkStart w:id="27" w:name="_Toc28359008"/>
      <w:bookmarkStart w:id="28" w:name="_Toc35393796"/>
      <w:bookmarkStart w:id="29" w:name="_Toc28359085"/>
      <w:bookmarkStart w:id="30" w:name="_Toc35393627"/>
      <w:r>
        <w:rPr>
          <w:rFonts w:hint="eastAsia" w:ascii="仿宋_GB2312" w:hAnsi="仿宋_GB2312" w:eastAsia="仿宋_GB2312" w:cs="仿宋_GB2312"/>
          <w:color w:val="auto"/>
          <w:szCs w:val="21"/>
          <w:highlight w:val="none"/>
        </w:rPr>
        <w:t>（1）供应商须及时办理CA数字证书，否则应自行承担无法正常参与项目的不利后果。</w:t>
      </w:r>
    </w:p>
    <w:p>
      <w:pPr>
        <w:widowControl/>
        <w:adjustRightInd w:val="0"/>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应详阅辽宁政府采购网首页”办事指南”中的“辽宁政府采购网关于办理CA数字证书的操作手册”和“辽宁政府采购网新版系统供应商操作手册”，具体规定详见《关于启用政府采购数字认证和电子招投标业务有关事宜的通知》（辽财采〔2020〕298号）</w:t>
      </w:r>
    </w:p>
    <w:p>
      <w:pPr>
        <w:widowControl/>
        <w:adjustRightInd w:val="0"/>
        <w:snapToGrid w:val="0"/>
        <w:spacing w:line="360" w:lineRule="auto"/>
        <w:ind w:firstLine="48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（2）现场或远程完成投标文件解密。现场解密的，请供应商携带CA、笔记本电脑等相关设备（电脑需提前下载所办CA的插件）。</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九、对本次招标提出询问，请按以下方式联系。</w:t>
      </w:r>
      <w:bookmarkEnd w:id="27"/>
      <w:bookmarkEnd w:id="28"/>
      <w:bookmarkEnd w:id="29"/>
      <w:bookmarkEnd w:id="30"/>
    </w:p>
    <w:p>
      <w:pPr>
        <w:adjustRightInd w:val="0"/>
        <w:snapToGrid w:val="0"/>
        <w:spacing w:line="360" w:lineRule="auto"/>
        <w:ind w:left="495" w:firstLine="210" w:firstLineChars="1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1.采购人信息</w:t>
      </w:r>
    </w:p>
    <w:p>
      <w:pPr>
        <w:widowControl/>
        <w:adjustRightInd w:val="0"/>
        <w:snapToGrid w:val="0"/>
        <w:spacing w:line="360" w:lineRule="auto"/>
        <w:ind w:firstLine="613" w:firstLineChars="292"/>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名    称：</w:t>
      </w:r>
      <w:r>
        <w:rPr>
          <w:rFonts w:hint="eastAsia" w:ascii="仿宋_GB2312" w:hAnsi="仿宋_GB2312" w:eastAsia="仿宋_GB2312" w:cs="仿宋_GB2312"/>
          <w:color w:val="auto"/>
          <w:kern w:val="0"/>
          <w:szCs w:val="21"/>
          <w:highlight w:val="none"/>
          <w:u w:val="single"/>
        </w:rPr>
        <w:t>沈阳建筑大学</w:t>
      </w:r>
      <w:r>
        <w:rPr>
          <w:rFonts w:hint="eastAsia" w:ascii="仿宋_GB2312" w:hAnsi="仿宋_GB2312" w:eastAsia="仿宋_GB2312" w:cs="仿宋_GB2312"/>
          <w:color w:val="auto"/>
          <w:kern w:val="0"/>
          <w:szCs w:val="21"/>
          <w:highlight w:val="none"/>
        </w:rPr>
        <w:t>　　　　　</w:t>
      </w:r>
    </w:p>
    <w:p>
      <w:pPr>
        <w:widowControl/>
        <w:adjustRightInd w:val="0"/>
        <w:snapToGrid w:val="0"/>
        <w:spacing w:line="360" w:lineRule="auto"/>
        <w:ind w:firstLine="613" w:firstLineChars="292"/>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地    址：</w:t>
      </w:r>
      <w:r>
        <w:rPr>
          <w:rFonts w:hint="eastAsia" w:ascii="仿宋_GB2312" w:hAnsi="仿宋_GB2312" w:eastAsia="仿宋_GB2312" w:cs="仿宋_GB2312"/>
          <w:color w:val="auto"/>
          <w:szCs w:val="21"/>
          <w:highlight w:val="none"/>
          <w:u w:val="single"/>
        </w:rPr>
        <w:t>沈阳市浑南区浑南中路25号</w:t>
      </w:r>
      <w:r>
        <w:rPr>
          <w:rFonts w:hint="eastAsia" w:ascii="仿宋_GB2312" w:hAnsi="仿宋_GB2312" w:eastAsia="仿宋_GB2312" w:cs="仿宋_GB2312"/>
          <w:color w:val="auto"/>
          <w:kern w:val="0"/>
          <w:szCs w:val="21"/>
          <w:highlight w:val="none"/>
        </w:rPr>
        <w:t>　　</w:t>
      </w:r>
    </w:p>
    <w:p>
      <w:pPr>
        <w:widowControl/>
        <w:adjustRightInd w:val="0"/>
        <w:snapToGrid w:val="0"/>
        <w:spacing w:line="360" w:lineRule="auto"/>
        <w:ind w:firstLine="613" w:firstLineChars="292"/>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联系方式：</w:t>
      </w:r>
      <w:r>
        <w:rPr>
          <w:rFonts w:hint="eastAsia" w:ascii="仿宋_GB2312" w:hAnsi="仿宋_GB2312" w:eastAsia="仿宋_GB2312" w:cs="仿宋_GB2312"/>
          <w:color w:val="auto"/>
          <w:szCs w:val="21"/>
          <w:highlight w:val="none"/>
          <w:u w:val="single"/>
        </w:rPr>
        <w:t>王晓龙024-24690652</w:t>
      </w:r>
      <w:r>
        <w:rPr>
          <w:rFonts w:hint="eastAsia" w:ascii="仿宋_GB2312" w:hAnsi="仿宋_GB2312" w:eastAsia="仿宋_GB2312" w:cs="仿宋_GB2312"/>
          <w:color w:val="auto"/>
          <w:kern w:val="0"/>
          <w:szCs w:val="21"/>
          <w:highlight w:val="none"/>
        </w:rPr>
        <w:t xml:space="preserve">　　　　　 　　 </w:t>
      </w:r>
    </w:p>
    <w:p>
      <w:pPr>
        <w:adjustRightInd w:val="0"/>
        <w:snapToGrid w:val="0"/>
        <w:spacing w:line="360" w:lineRule="auto"/>
        <w:ind w:left="495" w:firstLine="210" w:firstLineChars="1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2.采购代理机构信息</w:t>
      </w:r>
    </w:p>
    <w:p>
      <w:pPr>
        <w:adjustRightInd w:val="0"/>
        <w:snapToGrid w:val="0"/>
        <w:spacing w:line="360" w:lineRule="auto"/>
        <w:ind w:left="495" w:firstLine="210" w:firstLineChars="10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名    称：</w:t>
      </w:r>
      <w:r>
        <w:rPr>
          <w:rFonts w:hint="eastAsia" w:ascii="仿宋_GB2312" w:hAnsi="仿宋_GB2312" w:eastAsia="仿宋_GB2312" w:cs="仿宋_GB2312"/>
          <w:color w:val="auto"/>
          <w:szCs w:val="21"/>
          <w:highlight w:val="none"/>
          <w:u w:val="single"/>
        </w:rPr>
        <w:t>辽宁乔泰全过程项目管理有限公司</w:t>
      </w:r>
    </w:p>
    <w:p>
      <w:pPr>
        <w:adjustRightInd w:val="0"/>
        <w:snapToGrid w:val="0"/>
        <w:spacing w:line="360" w:lineRule="auto"/>
        <w:ind w:left="495" w:firstLine="210" w:firstLineChars="10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地　　址：</w:t>
      </w:r>
      <w:r>
        <w:rPr>
          <w:rFonts w:hint="eastAsia" w:ascii="仿宋_GB2312" w:hAnsi="仿宋_GB2312" w:eastAsia="仿宋_GB2312" w:cs="仿宋_GB2312"/>
          <w:color w:val="auto"/>
          <w:szCs w:val="21"/>
          <w:highlight w:val="none"/>
          <w:u w:val="single"/>
        </w:rPr>
        <w:t>沈阳市沈河区西顺城内街61号</w:t>
      </w:r>
    </w:p>
    <w:p>
      <w:pPr>
        <w:adjustRightInd w:val="0"/>
        <w:snapToGrid w:val="0"/>
        <w:spacing w:line="360" w:lineRule="auto"/>
        <w:ind w:left="495" w:firstLine="210" w:firstLineChars="1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联系方式：</w:t>
      </w:r>
      <w:r>
        <w:rPr>
          <w:rFonts w:hint="eastAsia" w:ascii="仿宋_GB2312" w:hAnsi="仿宋_GB2312" w:eastAsia="仿宋_GB2312" w:cs="仿宋_GB2312"/>
          <w:color w:val="auto"/>
          <w:szCs w:val="21"/>
          <w:highlight w:val="none"/>
          <w:u w:val="single"/>
        </w:rPr>
        <w:t>024-23883380-8029</w:t>
      </w:r>
    </w:p>
    <w:p>
      <w:pPr>
        <w:adjustRightInd w:val="0"/>
        <w:snapToGrid w:val="0"/>
        <w:spacing w:line="360" w:lineRule="auto"/>
        <w:ind w:left="495" w:firstLine="210" w:firstLineChars="10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邮箱地址：</w:t>
      </w:r>
      <w:r>
        <w:rPr>
          <w:rFonts w:hint="eastAsia" w:ascii="仿宋_GB2312" w:hAnsi="仿宋_GB2312" w:eastAsia="仿宋_GB2312" w:cs="仿宋_GB2312"/>
          <w:color w:val="auto"/>
          <w:szCs w:val="21"/>
          <w:highlight w:val="none"/>
          <w:u w:val="single"/>
        </w:rPr>
        <w:t>lnqt2018@163.com</w:t>
      </w:r>
    </w:p>
    <w:p>
      <w:pPr>
        <w:adjustRightInd w:val="0"/>
        <w:snapToGrid w:val="0"/>
        <w:spacing w:line="360" w:lineRule="auto"/>
        <w:ind w:left="495" w:firstLine="210" w:firstLineChars="1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开户行：</w:t>
      </w:r>
      <w:r>
        <w:rPr>
          <w:rFonts w:hint="eastAsia" w:ascii="仿宋_GB2312" w:hAnsi="仿宋_GB2312" w:eastAsia="仿宋_GB2312" w:cs="仿宋_GB2312"/>
          <w:color w:val="auto"/>
          <w:szCs w:val="21"/>
          <w:highlight w:val="none"/>
          <w:u w:val="single"/>
        </w:rPr>
        <w:t>招商银行沈阳分行北顺城支行</w:t>
      </w:r>
      <w:r>
        <w:rPr>
          <w:rFonts w:hint="eastAsia" w:ascii="仿宋_GB2312" w:hAnsi="仿宋_GB2312" w:eastAsia="仿宋_GB2312" w:cs="仿宋_GB2312"/>
          <w:color w:val="auto"/>
          <w:szCs w:val="21"/>
          <w:highlight w:val="none"/>
        </w:rPr>
        <w:t xml:space="preserve">    </w:t>
      </w:r>
    </w:p>
    <w:p>
      <w:pPr>
        <w:adjustRightInd w:val="0"/>
        <w:snapToGrid w:val="0"/>
        <w:spacing w:line="360" w:lineRule="auto"/>
        <w:ind w:left="495" w:firstLine="210" w:firstLineChars="1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账户名称：</w:t>
      </w:r>
      <w:r>
        <w:rPr>
          <w:rFonts w:hint="eastAsia" w:ascii="仿宋_GB2312" w:hAnsi="仿宋_GB2312" w:eastAsia="仿宋_GB2312" w:cs="仿宋_GB2312"/>
          <w:color w:val="auto"/>
          <w:szCs w:val="21"/>
          <w:highlight w:val="none"/>
          <w:u w:val="single"/>
        </w:rPr>
        <w:t>辽宁乔泰全过程项目管理有限公司</w:t>
      </w:r>
      <w:r>
        <w:rPr>
          <w:rFonts w:hint="eastAsia" w:ascii="仿宋_GB2312" w:hAnsi="仿宋_GB2312" w:eastAsia="仿宋_GB2312" w:cs="仿宋_GB2312"/>
          <w:color w:val="auto"/>
          <w:szCs w:val="21"/>
          <w:highlight w:val="none"/>
        </w:rPr>
        <w:t xml:space="preserve">  </w:t>
      </w:r>
    </w:p>
    <w:p>
      <w:pPr>
        <w:adjustRightInd w:val="0"/>
        <w:snapToGrid w:val="0"/>
        <w:spacing w:line="360" w:lineRule="auto"/>
        <w:ind w:left="495" w:firstLine="210" w:firstLineChars="1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账号：</w:t>
      </w:r>
      <w:r>
        <w:rPr>
          <w:rFonts w:hint="eastAsia" w:ascii="仿宋_GB2312" w:hAnsi="仿宋_GB2312" w:eastAsia="仿宋_GB2312" w:cs="仿宋_GB2312"/>
          <w:color w:val="auto"/>
          <w:szCs w:val="21"/>
          <w:highlight w:val="none"/>
          <w:u w:val="single"/>
        </w:rPr>
        <w:t>124908422310901</w:t>
      </w:r>
      <w:r>
        <w:rPr>
          <w:rFonts w:hint="eastAsia" w:ascii="仿宋_GB2312" w:hAnsi="仿宋_GB2312" w:eastAsia="仿宋_GB2312" w:cs="仿宋_GB2312"/>
          <w:color w:val="auto"/>
          <w:szCs w:val="21"/>
          <w:highlight w:val="none"/>
        </w:rPr>
        <w:t xml:space="preserve">  </w:t>
      </w:r>
    </w:p>
    <w:p>
      <w:pPr>
        <w:adjustRightInd w:val="0"/>
        <w:snapToGrid w:val="0"/>
        <w:spacing w:line="360" w:lineRule="auto"/>
        <w:ind w:left="495" w:firstLine="210" w:firstLineChars="1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3.项目联系方式</w:t>
      </w:r>
    </w:p>
    <w:p>
      <w:pPr>
        <w:adjustRightInd w:val="0"/>
        <w:snapToGrid w:val="0"/>
        <w:spacing w:line="360" w:lineRule="auto"/>
        <w:ind w:left="495" w:firstLine="210" w:firstLineChars="1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项目联系人：</w:t>
      </w:r>
      <w:r>
        <w:rPr>
          <w:rFonts w:hint="eastAsia" w:ascii="仿宋_GB2312" w:hAnsi="仿宋_GB2312" w:eastAsia="仿宋_GB2312" w:cs="仿宋_GB2312"/>
          <w:color w:val="auto"/>
          <w:szCs w:val="21"/>
          <w:highlight w:val="none"/>
          <w:u w:val="single"/>
        </w:rPr>
        <w:t>张建、宋盈达、褚亚楠</w:t>
      </w:r>
    </w:p>
    <w:p>
      <w:pPr>
        <w:adjustRightInd w:val="0"/>
        <w:snapToGrid w:val="0"/>
        <w:spacing w:line="360" w:lineRule="auto"/>
        <w:ind w:left="495" w:firstLine="210" w:firstLineChars="100"/>
        <w:rPr>
          <w:rFonts w:ascii="仿宋_GB2312" w:hAnsi="仿宋_GB2312" w:eastAsia="仿宋_GB2312" w:cs="仿宋_GB2312"/>
          <w:b/>
          <w:bCs/>
          <w:color w:val="auto"/>
          <w:kern w:val="0"/>
          <w:sz w:val="24"/>
          <w:highlight w:val="none"/>
        </w:rPr>
        <w:sectPr>
          <w:footerReference r:id="rId4" w:type="default"/>
          <w:pgSz w:w="11906" w:h="16838"/>
          <w:pgMar w:top="1440" w:right="1803" w:bottom="1440" w:left="1803" w:header="851" w:footer="992" w:gutter="0"/>
          <w:pgNumType w:start="1"/>
          <w:cols w:space="720" w:num="1"/>
          <w:docGrid w:type="lines" w:linePitch="312" w:charSpace="0"/>
        </w:sectPr>
      </w:pPr>
      <w:r>
        <w:rPr>
          <w:rFonts w:hint="eastAsia" w:ascii="仿宋_GB2312" w:hAnsi="仿宋_GB2312" w:eastAsia="仿宋_GB2312" w:cs="仿宋_GB2312"/>
          <w:color w:val="auto"/>
          <w:szCs w:val="21"/>
          <w:highlight w:val="none"/>
        </w:rPr>
        <w:t>电　话：</w:t>
      </w:r>
      <w:r>
        <w:rPr>
          <w:rFonts w:hint="eastAsia" w:ascii="仿宋_GB2312" w:hAnsi="仿宋_GB2312" w:eastAsia="仿宋_GB2312" w:cs="仿宋_GB2312"/>
          <w:color w:val="auto"/>
          <w:szCs w:val="21"/>
          <w:highlight w:val="none"/>
          <w:u w:val="single"/>
        </w:rPr>
        <w:t>024-23883380-8029</w:t>
      </w:r>
    </w:p>
    <w:p>
      <w:pPr>
        <w:pStyle w:val="4"/>
        <w:snapToGrid w:val="0"/>
        <w:spacing w:before="312" w:beforeLines="100" w:after="312" w:afterLines="100"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第一章 投标人须知</w:t>
      </w:r>
      <w:bookmarkEnd w:id="2"/>
      <w:bookmarkEnd w:id="3"/>
    </w:p>
    <w:p>
      <w:pPr>
        <w:pStyle w:val="5"/>
        <w:adjustRightInd w:val="0"/>
        <w:snapToGrid w:val="0"/>
        <w:spacing w:before="0" w:after="0" w:line="360" w:lineRule="auto"/>
        <w:rPr>
          <w:rFonts w:ascii="仿宋_GB2312" w:hAnsi="仿宋_GB2312" w:eastAsia="仿宋_GB2312" w:cs="仿宋_GB2312"/>
          <w:color w:val="auto"/>
          <w:sz w:val="32"/>
          <w:szCs w:val="36"/>
          <w:highlight w:val="none"/>
        </w:rPr>
      </w:pPr>
      <w:bookmarkStart w:id="31" w:name="_Toc18613_WPSOffice_Level2"/>
      <w:r>
        <w:rPr>
          <w:rFonts w:hint="eastAsia" w:ascii="仿宋_GB2312" w:hAnsi="仿宋_GB2312" w:eastAsia="仿宋_GB2312" w:cs="仿宋_GB2312"/>
          <w:color w:val="auto"/>
          <w:sz w:val="32"/>
          <w:szCs w:val="36"/>
          <w:highlight w:val="none"/>
        </w:rPr>
        <w:t>一 投标人须知表</w:t>
      </w:r>
      <w:bookmarkEnd w:id="31"/>
    </w:p>
    <w:tbl>
      <w:tblPr>
        <w:tblStyle w:val="18"/>
        <w:tblW w:w="8656" w:type="dxa"/>
        <w:tblInd w:w="0" w:type="dxa"/>
        <w:tblLayout w:type="fixed"/>
        <w:tblCellMar>
          <w:top w:w="0" w:type="dxa"/>
          <w:left w:w="108" w:type="dxa"/>
          <w:bottom w:w="0" w:type="dxa"/>
          <w:right w:w="108" w:type="dxa"/>
        </w:tblCellMar>
      </w:tblPr>
      <w:tblGrid>
        <w:gridCol w:w="852"/>
        <w:gridCol w:w="1917"/>
        <w:gridCol w:w="5887"/>
      </w:tblGrid>
      <w:tr>
        <w:tblPrEx>
          <w:tblCellMar>
            <w:top w:w="0" w:type="dxa"/>
            <w:left w:w="108" w:type="dxa"/>
            <w:bottom w:w="0" w:type="dxa"/>
            <w:right w:w="108" w:type="dxa"/>
          </w:tblCellMar>
        </w:tblPrEx>
        <w:trPr>
          <w:trHeight w:val="497" w:hRule="atLeast"/>
          <w:tblHeader/>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bookmarkStart w:id="32" w:name="招标项目基本内容及要求：Block"/>
            <w:bookmarkEnd w:id="32"/>
            <w:bookmarkStart w:id="33" w:name="sys_招标项目基本内容及要求其他：Block"/>
            <w:bookmarkEnd w:id="33"/>
            <w:bookmarkStart w:id="34" w:name="sys_招标项目基本内容及要求：Block"/>
            <w:bookmarkEnd w:id="34"/>
            <w:bookmarkStart w:id="35" w:name="招标项目基本内容及要求其他：Block"/>
            <w:bookmarkEnd w:id="35"/>
            <w:r>
              <w:rPr>
                <w:rFonts w:hint="eastAsia" w:ascii="仿宋_GB2312" w:hAnsi="仿宋_GB2312" w:eastAsia="仿宋_GB2312" w:cs="仿宋_GB2312"/>
                <w:color w:val="auto"/>
                <w:kern w:val="0"/>
                <w:szCs w:val="21"/>
                <w:highlight w:val="none"/>
              </w:rPr>
              <w:t>条款号</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项   目</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内     容</w:t>
            </w:r>
          </w:p>
        </w:tc>
      </w:tr>
      <w:tr>
        <w:tblPrEx>
          <w:tblCellMar>
            <w:top w:w="0" w:type="dxa"/>
            <w:left w:w="108" w:type="dxa"/>
            <w:bottom w:w="0" w:type="dxa"/>
            <w:right w:w="108" w:type="dxa"/>
          </w:tblCellMar>
        </w:tblPrEx>
        <w:trPr>
          <w:trHeight w:val="125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采购人</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t>名  称：</w:t>
            </w:r>
            <w:r>
              <w:rPr>
                <w:rFonts w:hint="eastAsia" w:ascii="仿宋_GB2312" w:hAnsi="仿宋_GB2312" w:eastAsia="仿宋_GB2312" w:cs="仿宋_GB2312"/>
                <w:color w:val="auto"/>
                <w:kern w:val="0"/>
                <w:szCs w:val="21"/>
                <w:highlight w:val="none"/>
                <w:u w:val="single"/>
              </w:rPr>
              <w:t>沈阳建筑大学</w:t>
            </w:r>
          </w:p>
          <w:p>
            <w:pPr>
              <w:widowControl/>
              <w:jc w:val="left"/>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t>地  址：</w:t>
            </w:r>
            <w:r>
              <w:rPr>
                <w:rFonts w:hint="eastAsia" w:ascii="仿宋_GB2312" w:hAnsi="仿宋_GB2312" w:eastAsia="仿宋_GB2312" w:cs="仿宋_GB2312"/>
                <w:color w:val="auto"/>
                <w:kern w:val="0"/>
                <w:szCs w:val="21"/>
                <w:highlight w:val="none"/>
                <w:u w:val="single"/>
              </w:rPr>
              <w:t>沈阳市浑南区浑南中路25号</w:t>
            </w:r>
          </w:p>
          <w:p>
            <w:pPr>
              <w:widowControl/>
              <w:jc w:val="left"/>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t>联系人：</w:t>
            </w:r>
            <w:r>
              <w:rPr>
                <w:rFonts w:hint="eastAsia" w:ascii="仿宋_GB2312" w:hAnsi="仿宋_GB2312" w:eastAsia="仿宋_GB2312" w:cs="仿宋_GB2312"/>
                <w:color w:val="auto"/>
                <w:kern w:val="0"/>
                <w:szCs w:val="21"/>
                <w:highlight w:val="none"/>
                <w:u w:val="single"/>
              </w:rPr>
              <w:t>王晓龙</w:t>
            </w:r>
          </w:p>
          <w:p>
            <w:pPr>
              <w:widowControl/>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电  话：</w:t>
            </w:r>
            <w:r>
              <w:rPr>
                <w:rFonts w:hint="eastAsia" w:ascii="仿宋_GB2312" w:hAnsi="仿宋_GB2312" w:eastAsia="仿宋_GB2312" w:cs="仿宋_GB2312"/>
                <w:color w:val="auto"/>
                <w:kern w:val="0"/>
                <w:szCs w:val="21"/>
                <w:highlight w:val="none"/>
                <w:u w:val="single"/>
              </w:rPr>
              <w:t>024-24690652</w:t>
            </w:r>
          </w:p>
        </w:tc>
      </w:tr>
      <w:tr>
        <w:tblPrEx>
          <w:tblCellMar>
            <w:top w:w="0" w:type="dxa"/>
            <w:left w:w="108" w:type="dxa"/>
            <w:bottom w:w="0" w:type="dxa"/>
            <w:right w:w="108" w:type="dxa"/>
          </w:tblCellMar>
        </w:tblPrEx>
        <w:trPr>
          <w:trHeight w:val="1252"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采购代理机构</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t>名  称：</w:t>
            </w:r>
            <w:r>
              <w:rPr>
                <w:rFonts w:hint="eastAsia" w:ascii="仿宋_GB2312" w:hAnsi="仿宋_GB2312" w:eastAsia="仿宋_GB2312" w:cs="仿宋_GB2312"/>
                <w:color w:val="auto"/>
                <w:kern w:val="0"/>
                <w:szCs w:val="21"/>
                <w:highlight w:val="none"/>
                <w:u w:val="single"/>
              </w:rPr>
              <w:t>辽宁乔泰全过程项目管理有限公司</w:t>
            </w:r>
          </w:p>
          <w:p>
            <w:pPr>
              <w:widowControl/>
              <w:jc w:val="left"/>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t>地  址：</w:t>
            </w:r>
            <w:r>
              <w:rPr>
                <w:rFonts w:hint="eastAsia" w:ascii="仿宋_GB2312" w:hAnsi="仿宋_GB2312" w:eastAsia="仿宋_GB2312" w:cs="仿宋_GB2312"/>
                <w:color w:val="auto"/>
                <w:kern w:val="0"/>
                <w:szCs w:val="21"/>
                <w:highlight w:val="none"/>
                <w:u w:val="single"/>
              </w:rPr>
              <w:t>沈阳市沈河区西顺城内街61号</w:t>
            </w:r>
          </w:p>
          <w:p>
            <w:pPr>
              <w:widowControl/>
              <w:jc w:val="left"/>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t>联系人：</w:t>
            </w:r>
            <w:r>
              <w:rPr>
                <w:rFonts w:hint="eastAsia" w:ascii="仿宋_GB2312" w:hAnsi="仿宋_GB2312" w:eastAsia="仿宋_GB2312" w:cs="仿宋_GB2312"/>
                <w:color w:val="auto"/>
                <w:kern w:val="0"/>
                <w:szCs w:val="21"/>
                <w:highlight w:val="none"/>
                <w:u w:val="single"/>
              </w:rPr>
              <w:t>张建、宋盈达、褚亚楠</w:t>
            </w:r>
          </w:p>
          <w:p>
            <w:pPr>
              <w:widowControl/>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电  话：</w:t>
            </w:r>
            <w:r>
              <w:rPr>
                <w:rFonts w:hint="eastAsia" w:ascii="仿宋_GB2312" w:hAnsi="仿宋_GB2312" w:eastAsia="仿宋_GB2312" w:cs="仿宋_GB2312"/>
                <w:color w:val="auto"/>
                <w:kern w:val="0"/>
                <w:szCs w:val="21"/>
                <w:highlight w:val="none"/>
                <w:u w:val="single"/>
              </w:rPr>
              <w:t>024-23883380-8029</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1.3.4</w:t>
            </w:r>
          </w:p>
        </w:tc>
        <w:tc>
          <w:tcPr>
            <w:tcW w:w="19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合格供应商还要满足的其它资格条件</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无</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1.3.5</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是否允许采购进口产品</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sym w:font="Wingdings 2" w:char="0052"/>
            </w:r>
            <w:r>
              <w:rPr>
                <w:rFonts w:hint="eastAsia" w:ascii="仿宋_GB2312" w:hAnsi="仿宋_GB2312" w:eastAsia="仿宋_GB2312" w:cs="仿宋_GB2312"/>
                <w:color w:val="auto"/>
                <w:kern w:val="0"/>
                <w:szCs w:val="21"/>
                <w:highlight w:val="none"/>
              </w:rPr>
              <w:t>是</w:t>
            </w:r>
          </w:p>
          <w:p>
            <w:pPr>
              <w:rPr>
                <w:rFonts w:ascii="仿宋_GB2312" w:hAnsi="仿宋_GB2312" w:eastAsia="仿宋_GB2312" w:cs="仿宋_GB2312"/>
                <w:bCs/>
                <w:color w:val="auto"/>
                <w:kern w:val="0"/>
                <w:szCs w:val="21"/>
                <w:highlight w:val="non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color w:val="auto"/>
                <w:kern w:val="0"/>
                <w:szCs w:val="21"/>
                <w:highlight w:val="none"/>
              </w:rPr>
              <w:t>否</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1.3.6</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color w:val="auto"/>
                <w:kern w:val="0"/>
                <w:szCs w:val="21"/>
                <w:highlight w:val="none"/>
              </w:rPr>
            </w:pPr>
            <w:r>
              <w:rPr>
                <w:rFonts w:hint="eastAsia" w:ascii="仿宋_GB2312" w:hAnsi="仿宋_GB2312" w:eastAsia="仿宋_GB2312" w:cs="仿宋_GB2312"/>
                <w:color w:val="auto"/>
                <w:kern w:val="0"/>
                <w:szCs w:val="21"/>
                <w:highlight w:val="none"/>
              </w:rPr>
              <w:t>是否为专门面向</w:t>
            </w:r>
            <w:r>
              <w:rPr>
                <w:rFonts w:hint="eastAsia" w:ascii="仿宋_GB2312" w:hAnsi="仿宋_GB2312" w:eastAsia="仿宋_GB2312" w:cs="仿宋_GB2312"/>
                <w:color w:val="auto"/>
                <w:szCs w:val="21"/>
                <w:highlight w:val="none"/>
              </w:rPr>
              <w:t>中小企业</w:t>
            </w:r>
            <w:r>
              <w:rPr>
                <w:rFonts w:hint="eastAsia" w:ascii="仿宋_GB2312" w:hAnsi="仿宋_GB2312" w:eastAsia="仿宋_GB2312" w:cs="仿宋_GB2312"/>
                <w:color w:val="auto"/>
                <w:kern w:val="0"/>
                <w:szCs w:val="21"/>
                <w:highlight w:val="none"/>
              </w:rPr>
              <w:t>采购</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color w:val="auto"/>
                <w:kern w:val="0"/>
                <w:szCs w:val="21"/>
                <w:highlight w:val="none"/>
              </w:rPr>
              <w:t>是</w:t>
            </w:r>
          </w:p>
          <w:p>
            <w:pPr>
              <w:rPr>
                <w:rFonts w:ascii="仿宋_GB2312" w:hAnsi="仿宋_GB2312" w:eastAsia="仿宋_GB2312" w:cs="仿宋_GB2312"/>
                <w:bCs/>
                <w:color w:val="auto"/>
                <w:kern w:val="0"/>
                <w:szCs w:val="21"/>
                <w:highlight w:val="none"/>
              </w:rPr>
            </w:pPr>
            <w:r>
              <w:rPr>
                <w:rFonts w:hint="eastAsia" w:ascii="仿宋_GB2312" w:hAnsi="仿宋_GB2312" w:eastAsia="仿宋_GB2312" w:cs="仿宋_GB2312"/>
                <w:color w:val="auto"/>
                <w:kern w:val="0"/>
                <w:szCs w:val="21"/>
                <w:highlight w:val="none"/>
              </w:rPr>
              <w:sym w:font="Wingdings 2" w:char="0052"/>
            </w:r>
            <w:r>
              <w:rPr>
                <w:rFonts w:hint="eastAsia" w:ascii="仿宋_GB2312" w:hAnsi="仿宋_GB2312" w:eastAsia="仿宋_GB2312" w:cs="仿宋_GB2312"/>
                <w:color w:val="auto"/>
                <w:kern w:val="0"/>
                <w:szCs w:val="21"/>
                <w:highlight w:val="none"/>
              </w:rPr>
              <w:t>否 适用《政府采购促进中小企业发展管理办法》第六条第二款（三）按照本办法规定预留采购份额无法确保充分供应、充分竞争，或者存在可能影响政府采购目标实现的情形。</w:t>
            </w:r>
          </w:p>
        </w:tc>
      </w:tr>
      <w:tr>
        <w:tblPrEx>
          <w:tblCellMar>
            <w:top w:w="0" w:type="dxa"/>
            <w:left w:w="108" w:type="dxa"/>
            <w:bottom w:w="0" w:type="dxa"/>
            <w:right w:w="108" w:type="dxa"/>
          </w:tblCellMar>
        </w:tblPrEx>
        <w:trPr>
          <w:trHeight w:val="836"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1.3.7</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是否有政府强制采购的节能产品</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color w:val="auto"/>
                <w:kern w:val="0"/>
                <w:szCs w:val="21"/>
                <w:highlight w:val="none"/>
                <w:u w:val="singl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color w:val="auto"/>
                <w:kern w:val="0"/>
                <w:szCs w:val="21"/>
                <w:highlight w:val="none"/>
              </w:rPr>
              <w:t>有，具体产品为</w:t>
            </w:r>
            <w:r>
              <w:rPr>
                <w:rFonts w:hint="eastAsia" w:ascii="仿宋_GB2312" w:hAnsi="仿宋_GB2312" w:eastAsia="仿宋_GB2312" w:cs="仿宋_GB2312"/>
                <w:bCs/>
                <w:color w:val="auto"/>
                <w:kern w:val="0"/>
                <w:szCs w:val="21"/>
                <w:highlight w:val="none"/>
                <w:u w:val="single"/>
              </w:rPr>
              <w:t xml:space="preserve">        </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sym w:font="Wingdings 2" w:char="0052"/>
            </w:r>
            <w:r>
              <w:rPr>
                <w:rFonts w:hint="eastAsia" w:ascii="仿宋_GB2312" w:hAnsi="仿宋_GB2312" w:eastAsia="仿宋_GB2312" w:cs="仿宋_GB2312"/>
                <w:color w:val="auto"/>
                <w:kern w:val="0"/>
                <w:szCs w:val="21"/>
                <w:highlight w:val="none"/>
              </w:rPr>
              <w:t>没有</w:t>
            </w:r>
          </w:p>
        </w:tc>
      </w:tr>
      <w:tr>
        <w:tblPrEx>
          <w:tblCellMar>
            <w:top w:w="0" w:type="dxa"/>
            <w:left w:w="108" w:type="dxa"/>
            <w:bottom w:w="0" w:type="dxa"/>
            <w:right w:w="108" w:type="dxa"/>
          </w:tblCellMar>
        </w:tblPrEx>
        <w:trPr>
          <w:trHeight w:val="410"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
                <w:color w:val="auto"/>
                <w:kern w:val="0"/>
                <w:szCs w:val="21"/>
                <w:highlight w:val="none"/>
              </w:rPr>
            </w:pPr>
            <w:r>
              <w:rPr>
                <w:rFonts w:hint="eastAsia" w:ascii="仿宋_GB2312" w:hAnsi="仿宋_GB2312" w:eastAsia="仿宋_GB2312" w:cs="仿宋_GB2312"/>
                <w:bCs/>
                <w:color w:val="auto"/>
                <w:kern w:val="0"/>
                <w:szCs w:val="21"/>
                <w:highlight w:val="none"/>
              </w:rPr>
              <w:t>是否允许联合体投标</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color w:val="auto"/>
                <w:kern w:val="0"/>
                <w:szCs w:val="21"/>
                <w:highlight w:val="none"/>
              </w:rPr>
              <w:t>是</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sym w:font="Wingdings 2" w:char="0052"/>
            </w:r>
            <w:r>
              <w:rPr>
                <w:rFonts w:hint="eastAsia" w:ascii="仿宋_GB2312" w:hAnsi="仿宋_GB2312" w:eastAsia="仿宋_GB2312" w:cs="仿宋_GB2312"/>
                <w:color w:val="auto"/>
                <w:kern w:val="0"/>
                <w:szCs w:val="21"/>
                <w:highlight w:val="none"/>
              </w:rPr>
              <w:t>否</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1.4.8</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联合体投标的其他资格要求</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color w:val="auto"/>
                <w:kern w:val="0"/>
                <w:szCs w:val="21"/>
                <w:highlight w:val="none"/>
              </w:rPr>
            </w:pPr>
          </w:p>
        </w:tc>
      </w:tr>
      <w:tr>
        <w:tblPrEx>
          <w:tblCellMar>
            <w:top w:w="0" w:type="dxa"/>
            <w:left w:w="108" w:type="dxa"/>
            <w:bottom w:w="0" w:type="dxa"/>
            <w:right w:w="108" w:type="dxa"/>
          </w:tblCellMar>
        </w:tblPrEx>
        <w:trPr>
          <w:trHeight w:val="942" w:hRule="atLeast"/>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2.2</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bCs/>
                <w:color w:val="auto"/>
                <w:kern w:val="0"/>
                <w:szCs w:val="21"/>
                <w:highlight w:val="none"/>
              </w:rPr>
            </w:pPr>
            <w:r>
              <w:rPr>
                <w:rFonts w:hint="eastAsia" w:ascii="仿宋_GB2312" w:hAnsi="仿宋_GB2312" w:eastAsia="仿宋_GB2312" w:cs="仿宋_GB2312"/>
                <w:color w:val="auto"/>
                <w:kern w:val="0"/>
                <w:szCs w:val="21"/>
                <w:highlight w:val="none"/>
              </w:rPr>
              <w:t>项目预算金额、最高限价</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预算金额：</w:t>
            </w:r>
            <w:r>
              <w:rPr>
                <w:rFonts w:hint="eastAsia" w:ascii="仿宋_GB2312" w:hAnsi="仿宋_GB2312" w:eastAsia="仿宋_GB2312" w:cs="仿宋_GB2312"/>
                <w:bCs/>
                <w:color w:val="auto"/>
                <w:kern w:val="0"/>
                <w:szCs w:val="21"/>
                <w:highlight w:val="none"/>
                <w:u w:val="single"/>
              </w:rPr>
              <w:t xml:space="preserve">1,100,000.00 </w:t>
            </w:r>
            <w:r>
              <w:rPr>
                <w:rFonts w:hint="eastAsia" w:ascii="仿宋_GB2312" w:hAnsi="仿宋_GB2312" w:eastAsia="仿宋_GB2312" w:cs="仿宋_GB2312"/>
                <w:bCs/>
                <w:color w:val="auto"/>
                <w:kern w:val="0"/>
                <w:szCs w:val="21"/>
                <w:highlight w:val="none"/>
              </w:rPr>
              <w:t>元</w:t>
            </w:r>
          </w:p>
          <w:p>
            <w:pPr>
              <w:rPr>
                <w:color w:val="auto"/>
                <w:highlight w:val="none"/>
              </w:rPr>
            </w:pPr>
            <w:r>
              <w:rPr>
                <w:rFonts w:hint="eastAsia" w:ascii="仿宋_GB2312" w:hAnsi="仿宋_GB2312" w:eastAsia="仿宋_GB2312" w:cs="仿宋_GB2312"/>
                <w:bCs/>
                <w:color w:val="auto"/>
                <w:kern w:val="0"/>
                <w:szCs w:val="21"/>
                <w:highlight w:val="none"/>
              </w:rPr>
              <w:t>最高限价：</w:t>
            </w:r>
            <w:r>
              <w:rPr>
                <w:rFonts w:hint="eastAsia" w:ascii="仿宋_GB2312" w:hAnsi="仿宋_GB2312" w:eastAsia="仿宋_GB2312" w:cs="仿宋_GB2312"/>
                <w:bCs/>
                <w:color w:val="auto"/>
                <w:kern w:val="0"/>
                <w:szCs w:val="21"/>
                <w:highlight w:val="none"/>
                <w:u w:val="single"/>
              </w:rPr>
              <w:t xml:space="preserve">1,100,000.00 </w:t>
            </w:r>
            <w:r>
              <w:rPr>
                <w:rFonts w:hint="eastAsia" w:ascii="仿宋_GB2312" w:hAnsi="仿宋_GB2312" w:eastAsia="仿宋_GB2312" w:cs="仿宋_GB2312"/>
                <w:bCs/>
                <w:color w:val="auto"/>
                <w:kern w:val="0"/>
                <w:szCs w:val="21"/>
                <w:highlight w:val="none"/>
              </w:rPr>
              <w:t>元</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w:t>
            </w:r>
          </w:p>
        </w:tc>
        <w:tc>
          <w:tcPr>
            <w:tcW w:w="1917"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计量单位</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sym w:font="Wingdings 2" w:char="0052"/>
            </w:r>
            <w:r>
              <w:rPr>
                <w:rFonts w:hint="eastAsia" w:ascii="仿宋_GB2312" w:hAnsi="仿宋_GB2312" w:eastAsia="仿宋_GB2312" w:cs="仿宋_GB2312"/>
                <w:bCs/>
                <w:color w:val="auto"/>
                <w:kern w:val="0"/>
                <w:szCs w:val="21"/>
                <w:highlight w:val="none"/>
              </w:rPr>
              <w:t>中华人民共和国法定计量单位</w:t>
            </w:r>
          </w:p>
          <w:p>
            <w:pPr>
              <w:rPr>
                <w:rFonts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sym w:font="Wingdings 2" w:char="00A3"/>
            </w:r>
            <w:r>
              <w:rPr>
                <w:rFonts w:hint="eastAsia" w:ascii="仿宋_GB2312" w:hAnsi="仿宋_GB2312" w:eastAsia="仿宋_GB2312" w:cs="仿宋_GB2312"/>
                <w:bCs/>
                <w:color w:val="auto"/>
                <w:kern w:val="0"/>
                <w:szCs w:val="21"/>
                <w:highlight w:val="none"/>
              </w:rPr>
              <w:t>其他：</w:t>
            </w:r>
            <w:r>
              <w:rPr>
                <w:rFonts w:hint="eastAsia" w:ascii="仿宋_GB2312" w:hAnsi="仿宋_GB2312" w:eastAsia="仿宋_GB2312" w:cs="仿宋_GB2312"/>
                <w:bCs/>
                <w:color w:val="auto"/>
                <w:kern w:val="0"/>
                <w:szCs w:val="21"/>
                <w:highlight w:val="none"/>
                <w:u w:val="single"/>
              </w:rPr>
              <w:t xml:space="preserve">             </w:t>
            </w:r>
          </w:p>
        </w:tc>
      </w:tr>
      <w:tr>
        <w:tblPrEx>
          <w:tblCellMar>
            <w:top w:w="0" w:type="dxa"/>
            <w:left w:w="108" w:type="dxa"/>
            <w:bottom w:w="0" w:type="dxa"/>
            <w:right w:w="108" w:type="dxa"/>
          </w:tblCellMar>
        </w:tblPrEx>
        <w:trPr>
          <w:trHeight w:val="1873"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现场考察、开标前答疑会</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sym w:font="Wingdings 2" w:char="0052"/>
            </w:r>
            <w:r>
              <w:rPr>
                <w:rFonts w:hint="eastAsia" w:ascii="仿宋_GB2312" w:hAnsi="仿宋_GB2312" w:eastAsia="仿宋_GB2312" w:cs="仿宋_GB2312"/>
                <w:color w:val="auto"/>
                <w:kern w:val="0"/>
                <w:szCs w:val="21"/>
                <w:highlight w:val="none"/>
              </w:rPr>
              <w:t>不组织</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color w:val="auto"/>
                <w:kern w:val="0"/>
                <w:szCs w:val="21"/>
                <w:highlight w:val="none"/>
              </w:rPr>
              <w:t>组织，时  间：</w:t>
            </w:r>
            <w:r>
              <w:rPr>
                <w:rFonts w:hint="eastAsia" w:ascii="仿宋_GB2312" w:hAnsi="仿宋_GB2312" w:eastAsia="仿宋_GB2312" w:cs="仿宋_GB2312"/>
                <w:bCs/>
                <w:color w:val="auto"/>
                <w:kern w:val="0"/>
                <w:szCs w:val="21"/>
                <w:highlight w:val="none"/>
                <w:u w:val="single"/>
              </w:rPr>
              <w:t xml:space="preserve">             </w:t>
            </w:r>
          </w:p>
          <w:p>
            <w:pPr>
              <w:widowControl/>
              <w:ind w:left="-105" w:leftChars="-50" w:firstLine="949" w:firstLineChars="452"/>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地  点：</w:t>
            </w:r>
            <w:r>
              <w:rPr>
                <w:rFonts w:hint="eastAsia" w:ascii="仿宋_GB2312" w:hAnsi="仿宋_GB2312" w:eastAsia="仿宋_GB2312" w:cs="仿宋_GB2312"/>
                <w:bCs/>
                <w:color w:val="auto"/>
                <w:kern w:val="0"/>
                <w:szCs w:val="21"/>
                <w:highlight w:val="none"/>
                <w:u w:val="single"/>
              </w:rPr>
              <w:t xml:space="preserve">             </w:t>
            </w:r>
          </w:p>
          <w:p>
            <w:pPr>
              <w:ind w:left="-105" w:leftChars="-50" w:firstLine="949" w:firstLineChars="452"/>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联系人：</w:t>
            </w:r>
            <w:r>
              <w:rPr>
                <w:rFonts w:hint="eastAsia" w:ascii="仿宋_GB2312" w:hAnsi="仿宋_GB2312" w:eastAsia="仿宋_GB2312" w:cs="仿宋_GB2312"/>
                <w:bCs/>
                <w:color w:val="auto"/>
                <w:kern w:val="0"/>
                <w:szCs w:val="21"/>
                <w:highlight w:val="none"/>
                <w:u w:val="single"/>
              </w:rPr>
              <w:t xml:space="preserve">             </w:t>
            </w:r>
          </w:p>
          <w:p>
            <w:pPr>
              <w:ind w:left="-105" w:leftChars="-50" w:firstLine="949" w:firstLineChars="452"/>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电  话：</w:t>
            </w:r>
            <w:r>
              <w:rPr>
                <w:rFonts w:hint="eastAsia" w:ascii="仿宋_GB2312" w:hAnsi="仿宋_GB2312" w:eastAsia="仿宋_GB2312" w:cs="仿宋_GB2312"/>
                <w:bCs/>
                <w:color w:val="auto"/>
                <w:kern w:val="0"/>
                <w:szCs w:val="21"/>
                <w:highlight w:val="none"/>
                <w:u w:val="single"/>
              </w:rPr>
              <w:t xml:space="preserve">             </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color w:val="auto"/>
                <w:kern w:val="0"/>
                <w:szCs w:val="21"/>
                <w:highlight w:val="none"/>
              </w:rPr>
              <w:t>组织，招标文件提供期限截止后以书面形式通知。</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10.3</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核心产品</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u w:val="single"/>
              </w:rPr>
              <w:t xml:space="preserve"> 高分辨声学成像仪 </w:t>
            </w:r>
          </w:p>
        </w:tc>
      </w:tr>
      <w:tr>
        <w:tblPrEx>
          <w:tblCellMar>
            <w:top w:w="0" w:type="dxa"/>
            <w:left w:w="108" w:type="dxa"/>
            <w:bottom w:w="0" w:type="dxa"/>
            <w:right w:w="108" w:type="dxa"/>
          </w:tblCellMar>
        </w:tblPrEx>
        <w:trPr>
          <w:trHeight w:val="6008"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11.3</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样品或演示</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sym w:font="Wingdings 2" w:char="0052"/>
            </w:r>
            <w:r>
              <w:rPr>
                <w:rFonts w:hint="eastAsia" w:ascii="仿宋_GB2312" w:hAnsi="仿宋_GB2312" w:eastAsia="仿宋_GB2312" w:cs="仿宋_GB2312"/>
                <w:color w:val="auto"/>
                <w:kern w:val="0"/>
                <w:szCs w:val="21"/>
                <w:highlight w:val="none"/>
              </w:rPr>
              <w:t>不需要</w:t>
            </w:r>
            <w:r>
              <w:rPr>
                <w:rFonts w:hint="eastAsia" w:ascii="仿宋_GB2312" w:hAnsi="仿宋_GB2312" w:eastAsia="仿宋_GB2312" w:cs="仿宋_GB2312"/>
                <w:bCs/>
                <w:color w:val="auto"/>
                <w:kern w:val="0"/>
                <w:szCs w:val="21"/>
                <w:highlight w:val="none"/>
              </w:rPr>
              <w:t>提供样品</w:t>
            </w:r>
          </w:p>
          <w:p>
            <w:pPr>
              <w:rPr>
                <w:rFonts w:ascii="仿宋_GB2312" w:hAnsi="仿宋_GB2312" w:eastAsia="仿宋_GB2312" w:cs="仿宋_GB2312"/>
                <w:bCs/>
                <w:color w:val="auto"/>
                <w:kern w:val="0"/>
                <w:szCs w:val="21"/>
                <w:highlight w:val="non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color w:val="auto"/>
                <w:kern w:val="0"/>
                <w:szCs w:val="21"/>
                <w:highlight w:val="none"/>
              </w:rPr>
              <w:t>需要</w:t>
            </w:r>
            <w:r>
              <w:rPr>
                <w:rFonts w:hint="eastAsia" w:ascii="仿宋_GB2312" w:hAnsi="仿宋_GB2312" w:eastAsia="仿宋_GB2312" w:cs="仿宋_GB2312"/>
                <w:bCs/>
                <w:color w:val="auto"/>
                <w:kern w:val="0"/>
                <w:szCs w:val="21"/>
                <w:highlight w:val="none"/>
              </w:rPr>
              <w:t>提供样品</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bCs/>
                <w:color w:val="auto"/>
                <w:kern w:val="0"/>
                <w:szCs w:val="21"/>
                <w:highlight w:val="none"/>
              </w:rPr>
              <w:t xml:space="preserve">  </w:t>
            </w:r>
            <w:r>
              <w:rPr>
                <w:rFonts w:hint="eastAsia" w:ascii="仿宋_GB2312" w:hAnsi="仿宋_GB2312" w:eastAsia="仿宋_GB2312" w:cs="仿宋_GB2312"/>
                <w:color w:val="auto"/>
                <w:kern w:val="0"/>
                <w:szCs w:val="21"/>
                <w:highlight w:val="none"/>
              </w:rPr>
              <w:t>1、递交样品的截止时间：</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年</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月</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日</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时（北京时间）</w:t>
            </w:r>
          </w:p>
          <w:p>
            <w:pPr>
              <w:ind w:firstLine="525" w:firstLineChars="250"/>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t>递交样品地点：</w:t>
            </w:r>
            <w:r>
              <w:rPr>
                <w:rFonts w:hint="eastAsia" w:ascii="仿宋_GB2312" w:hAnsi="仿宋_GB2312" w:eastAsia="仿宋_GB2312" w:cs="仿宋_GB2312"/>
                <w:color w:val="auto"/>
                <w:kern w:val="0"/>
                <w:szCs w:val="21"/>
                <w:highlight w:val="none"/>
                <w:u w:val="single"/>
              </w:rPr>
              <w:t xml:space="preserve">                     </w:t>
            </w:r>
          </w:p>
          <w:p>
            <w:pPr>
              <w:ind w:firstLine="525" w:firstLineChars="250"/>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t>递交样品联系人：</w:t>
            </w:r>
            <w:r>
              <w:rPr>
                <w:rFonts w:hint="eastAsia" w:ascii="仿宋_GB2312" w:hAnsi="仿宋_GB2312" w:eastAsia="仿宋_GB2312" w:cs="仿宋_GB2312"/>
                <w:color w:val="auto"/>
                <w:kern w:val="0"/>
                <w:szCs w:val="21"/>
                <w:highlight w:val="none"/>
                <w:u w:val="single"/>
              </w:rPr>
              <w:t xml:space="preserve">                   </w:t>
            </w:r>
          </w:p>
          <w:p>
            <w:pPr>
              <w:ind w:firstLine="525" w:firstLineChars="250"/>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t>递交样品联系电话：</w:t>
            </w:r>
            <w:r>
              <w:rPr>
                <w:rFonts w:hint="eastAsia" w:ascii="仿宋_GB2312" w:hAnsi="仿宋_GB2312" w:eastAsia="仿宋_GB2312" w:cs="仿宋_GB2312"/>
                <w:color w:val="auto"/>
                <w:kern w:val="0"/>
                <w:szCs w:val="21"/>
                <w:highlight w:val="none"/>
                <w:u w:val="single"/>
              </w:rPr>
              <w:t xml:space="preserve">                 </w:t>
            </w:r>
          </w:p>
          <w:p>
            <w:pPr>
              <w:ind w:firstLine="210" w:firstLineChars="1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2、样品制作的标准和要求：</w:t>
            </w:r>
            <w:r>
              <w:rPr>
                <w:rFonts w:hint="eastAsia" w:ascii="仿宋_GB2312" w:hAnsi="仿宋_GB2312" w:eastAsia="仿宋_GB2312" w:cs="仿宋_GB2312"/>
                <w:color w:val="auto"/>
                <w:kern w:val="0"/>
                <w:szCs w:val="21"/>
                <w:highlight w:val="none"/>
                <w:u w:val="single"/>
              </w:rPr>
              <w:t xml:space="preserve">             </w:t>
            </w:r>
          </w:p>
          <w:p>
            <w:pPr>
              <w:ind w:firstLine="210" w:firstLineChars="1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3、随样品提交相关检测报告要求：</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 xml:space="preserve"> </w:t>
            </w:r>
          </w:p>
          <w:p>
            <w:pPr>
              <w:ind w:firstLine="420"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（包含是否要求提供、检测机构要求、检测内容等）</w:t>
            </w:r>
          </w:p>
          <w:p>
            <w:pPr>
              <w:ind w:firstLine="210" w:firstLineChars="1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样品的封存及退回：中标人的样品将由采购人进行保管、封存，并作为履约验收的参考。未中标的投标人提供的样品，应当由采购人进行保管、封存，中标公告之日起七个工作日后，由未中标人自行领回或经未中标人同意后自行处理。</w:t>
            </w:r>
          </w:p>
          <w:p>
            <w:pPr>
              <w:ind w:left="21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  </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sym w:font="Wingdings 2" w:char="0052"/>
            </w:r>
            <w:r>
              <w:rPr>
                <w:rFonts w:hint="eastAsia" w:ascii="仿宋_GB2312" w:hAnsi="仿宋_GB2312" w:eastAsia="仿宋_GB2312" w:cs="仿宋_GB2312"/>
                <w:color w:val="auto"/>
                <w:kern w:val="0"/>
                <w:szCs w:val="21"/>
                <w:highlight w:val="none"/>
              </w:rPr>
              <w:t>不</w:t>
            </w:r>
            <w:r>
              <w:rPr>
                <w:rFonts w:hint="eastAsia" w:ascii="仿宋_GB2312" w:hAnsi="仿宋_GB2312" w:eastAsia="仿宋_GB2312" w:cs="仿宋_GB2312"/>
                <w:bCs/>
                <w:color w:val="auto"/>
                <w:kern w:val="0"/>
                <w:szCs w:val="21"/>
                <w:highlight w:val="none"/>
              </w:rPr>
              <w:t>需要提供演示</w:t>
            </w:r>
          </w:p>
          <w:p>
            <w:pPr>
              <w:rPr>
                <w:rFonts w:ascii="仿宋_GB2312" w:hAnsi="仿宋_GB2312" w:eastAsia="仿宋_GB2312" w:cs="仿宋_GB2312"/>
                <w:bCs/>
                <w:color w:val="auto"/>
                <w:kern w:val="0"/>
                <w:szCs w:val="21"/>
                <w:highlight w:val="non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color w:val="auto"/>
                <w:kern w:val="0"/>
                <w:szCs w:val="21"/>
                <w:highlight w:val="none"/>
              </w:rPr>
              <w:t>需要</w:t>
            </w:r>
            <w:r>
              <w:rPr>
                <w:rFonts w:hint="eastAsia" w:ascii="仿宋_GB2312" w:hAnsi="仿宋_GB2312" w:eastAsia="仿宋_GB2312" w:cs="仿宋_GB2312"/>
                <w:bCs/>
                <w:color w:val="auto"/>
                <w:kern w:val="0"/>
                <w:szCs w:val="21"/>
                <w:highlight w:val="none"/>
              </w:rPr>
              <w:t>提供演示</w:t>
            </w:r>
          </w:p>
          <w:p>
            <w:pPr>
              <w:ind w:firstLine="210" w:firstLineChars="1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1、演示时间：</w:t>
            </w:r>
            <w:r>
              <w:rPr>
                <w:rFonts w:hint="eastAsia" w:ascii="仿宋_GB2312" w:hAnsi="仿宋_GB2312" w:eastAsia="仿宋_GB2312" w:cs="仿宋_GB2312"/>
                <w:bCs/>
                <w:color w:val="auto"/>
                <w:kern w:val="0"/>
                <w:szCs w:val="21"/>
                <w:highlight w:val="none"/>
                <w:u w:val="single"/>
              </w:rPr>
              <w:t xml:space="preserve">              </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     演示地点：</w:t>
            </w:r>
            <w:r>
              <w:rPr>
                <w:rFonts w:hint="eastAsia" w:ascii="仿宋_GB2312" w:hAnsi="仿宋_GB2312" w:eastAsia="仿宋_GB2312" w:cs="仿宋_GB2312"/>
                <w:bCs/>
                <w:color w:val="auto"/>
                <w:kern w:val="0"/>
                <w:szCs w:val="21"/>
                <w:highlight w:val="none"/>
                <w:u w:val="single"/>
              </w:rPr>
              <w:t xml:space="preserve">              </w:t>
            </w:r>
          </w:p>
          <w:p>
            <w:pPr>
              <w:ind w:firstLine="210" w:firstLineChars="1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   演示顺序：</w:t>
            </w:r>
            <w:r>
              <w:rPr>
                <w:rFonts w:hint="eastAsia" w:ascii="仿宋_GB2312" w:hAnsi="仿宋_GB2312" w:eastAsia="仿宋_GB2312" w:cs="仿宋_GB2312"/>
                <w:bCs/>
                <w:color w:val="auto"/>
                <w:kern w:val="0"/>
                <w:szCs w:val="21"/>
                <w:highlight w:val="none"/>
                <w:u w:val="single"/>
              </w:rPr>
              <w:t xml:space="preserve">              </w:t>
            </w:r>
          </w:p>
          <w:p>
            <w:pPr>
              <w:ind w:firstLine="210" w:firstLineChars="1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2、演示要求：</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（内容、设备等要求）</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投标报价货币要求</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sym w:font="Wingdings 2" w:char="0052"/>
            </w:r>
            <w:r>
              <w:rPr>
                <w:rFonts w:hint="eastAsia" w:ascii="仿宋_GB2312" w:hAnsi="仿宋_GB2312" w:eastAsia="仿宋_GB2312" w:cs="仿宋_GB2312"/>
                <w:color w:val="auto"/>
                <w:kern w:val="0"/>
                <w:szCs w:val="21"/>
                <w:highlight w:val="none"/>
              </w:rPr>
              <w:t>所有投标均按</w:t>
            </w:r>
            <w:r>
              <w:rPr>
                <w:rFonts w:hint="eastAsia" w:ascii="仿宋_GB2312" w:hAnsi="仿宋_GB2312" w:eastAsia="仿宋_GB2312" w:cs="仿宋_GB2312"/>
                <w:color w:val="auto"/>
                <w:kern w:val="0"/>
                <w:szCs w:val="21"/>
                <w:highlight w:val="none"/>
                <w:u w:val="single"/>
              </w:rPr>
              <w:t xml:space="preserve"> 人民币 </w:t>
            </w:r>
            <w:r>
              <w:rPr>
                <w:rFonts w:hint="eastAsia" w:ascii="仿宋_GB2312" w:hAnsi="仿宋_GB2312" w:eastAsia="仿宋_GB2312" w:cs="仿宋_GB2312"/>
                <w:color w:val="auto"/>
                <w:kern w:val="0"/>
                <w:szCs w:val="21"/>
                <w:highlight w:val="none"/>
              </w:rPr>
              <w:t>货币进行报价。</w:t>
            </w:r>
          </w:p>
          <w:p>
            <w:pPr>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color w:val="auto"/>
                <w:kern w:val="0"/>
                <w:szCs w:val="21"/>
                <w:highlight w:val="none"/>
              </w:rPr>
              <w:t>其它：</w:t>
            </w:r>
            <w:r>
              <w:rPr>
                <w:rFonts w:hint="eastAsia" w:ascii="仿宋_GB2312" w:hAnsi="仿宋_GB2312" w:eastAsia="仿宋_GB2312" w:cs="仿宋_GB2312"/>
                <w:color w:val="auto"/>
                <w:kern w:val="0"/>
                <w:szCs w:val="21"/>
                <w:highlight w:val="none"/>
                <w:u w:val="single"/>
              </w:rPr>
              <w:t xml:space="preserve">               </w:t>
            </w:r>
          </w:p>
        </w:tc>
      </w:tr>
      <w:tr>
        <w:tblPrEx>
          <w:tblCellMar>
            <w:top w:w="0" w:type="dxa"/>
            <w:left w:w="108" w:type="dxa"/>
            <w:bottom w:w="0" w:type="dxa"/>
            <w:right w:w="108" w:type="dxa"/>
          </w:tblCellMar>
        </w:tblPrEx>
        <w:trPr>
          <w:trHeight w:val="1609" w:hRule="atLeast"/>
        </w:trPr>
        <w:tc>
          <w:tcPr>
            <w:tcW w:w="852"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13.1</w:t>
            </w:r>
          </w:p>
        </w:tc>
        <w:tc>
          <w:tcPr>
            <w:tcW w:w="1917"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投标保证金</w:t>
            </w:r>
          </w:p>
        </w:tc>
        <w:tc>
          <w:tcPr>
            <w:tcW w:w="5887" w:type="dxa"/>
            <w:tcBorders>
              <w:top w:val="single" w:color="auto" w:sz="4" w:space="0"/>
              <w:left w:val="nil"/>
              <w:bottom w:val="single" w:color="auto" w:sz="8" w:space="0"/>
              <w:right w:val="single" w:color="auto" w:sz="8" w:space="0"/>
            </w:tcBorders>
            <w:vAlign w:val="center"/>
          </w:tcPr>
          <w:p>
            <w:pPr>
              <w:pStyle w:val="8"/>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1、投标保证金金额：</w:t>
            </w:r>
            <w:r>
              <w:rPr>
                <w:rFonts w:hint="eastAsia" w:ascii="仿宋_GB2312" w:hAnsi="仿宋_GB2312" w:eastAsia="仿宋_GB2312" w:cs="仿宋_GB2312"/>
                <w:color w:val="auto"/>
                <w:kern w:val="0"/>
                <w:szCs w:val="21"/>
                <w:highlight w:val="none"/>
                <w:u w:val="single"/>
              </w:rPr>
              <w:t>20,000.00</w:t>
            </w:r>
            <w:r>
              <w:rPr>
                <w:rFonts w:hint="eastAsia" w:ascii="仿宋_GB2312" w:hAnsi="仿宋_GB2312" w:eastAsia="仿宋_GB2312" w:cs="仿宋_GB2312"/>
                <w:color w:val="auto"/>
                <w:kern w:val="0"/>
                <w:szCs w:val="21"/>
                <w:highlight w:val="none"/>
              </w:rPr>
              <w:t>元</w:t>
            </w:r>
          </w:p>
          <w:p>
            <w:pPr>
              <w:pStyle w:val="8"/>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2、投标保证金到账时间：</w:t>
            </w:r>
            <w:r>
              <w:rPr>
                <w:rFonts w:hint="eastAsia" w:ascii="仿宋_GB2312" w:hAnsi="仿宋_GB2312" w:eastAsia="仿宋_GB2312" w:cs="仿宋_GB2312"/>
                <w:color w:val="auto"/>
                <w:szCs w:val="21"/>
                <w:highlight w:val="none"/>
                <w:u w:val="single"/>
              </w:rPr>
              <w:t xml:space="preserve">递交投标文件截止时间前 </w:t>
            </w:r>
          </w:p>
          <w:p>
            <w:pPr>
              <w:pStyle w:val="8"/>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szCs w:val="21"/>
                <w:highlight w:val="none"/>
              </w:rPr>
              <w:t>3、投标保证金缴纳方式：</w:t>
            </w:r>
            <w:r>
              <w:rPr>
                <w:rFonts w:hint="eastAsia" w:ascii="仿宋_GB2312" w:hAnsi="仿宋_GB2312" w:eastAsia="仿宋_GB2312" w:cs="仿宋_GB2312"/>
                <w:color w:val="auto"/>
                <w:szCs w:val="21"/>
                <w:highlight w:val="none"/>
              </w:rPr>
              <w:sym w:font="Wingdings 2" w:char="0052"/>
            </w:r>
            <w:r>
              <w:rPr>
                <w:rFonts w:hint="eastAsia" w:ascii="仿宋_GB2312" w:hAnsi="仿宋_GB2312" w:eastAsia="仿宋_GB2312" w:cs="仿宋_GB2312"/>
                <w:color w:val="auto"/>
                <w:szCs w:val="21"/>
                <w:highlight w:val="none"/>
              </w:rPr>
              <w:t xml:space="preserve">保函   </w:t>
            </w:r>
            <w:r>
              <w:rPr>
                <w:rFonts w:hint="eastAsia" w:ascii="仿宋_GB2312" w:hAnsi="仿宋_GB2312" w:eastAsia="仿宋_GB2312" w:cs="仿宋_GB2312"/>
                <w:color w:val="auto"/>
                <w:szCs w:val="21"/>
                <w:highlight w:val="none"/>
              </w:rPr>
              <w:sym w:font="Wingdings 2" w:char="0052"/>
            </w:r>
            <w:r>
              <w:rPr>
                <w:rFonts w:hint="eastAsia" w:ascii="仿宋_GB2312" w:hAnsi="仿宋_GB2312" w:eastAsia="仿宋_GB2312" w:cs="仿宋_GB2312"/>
                <w:color w:val="auto"/>
                <w:szCs w:val="21"/>
                <w:highlight w:val="none"/>
              </w:rPr>
              <w:t xml:space="preserve">支票  </w:t>
            </w:r>
            <w:r>
              <w:rPr>
                <w:rFonts w:hint="eastAsia" w:ascii="仿宋_GB2312" w:hAnsi="仿宋_GB2312" w:eastAsia="仿宋_GB2312" w:cs="仿宋_GB2312"/>
                <w:color w:val="auto"/>
                <w:szCs w:val="21"/>
                <w:highlight w:val="none"/>
              </w:rPr>
              <w:sym w:font="Wingdings 2" w:char="0052"/>
            </w:r>
            <w:r>
              <w:rPr>
                <w:rFonts w:hint="eastAsia" w:ascii="仿宋_GB2312" w:hAnsi="仿宋_GB2312" w:eastAsia="仿宋_GB2312" w:cs="仿宋_GB2312"/>
                <w:color w:val="auto"/>
                <w:szCs w:val="21"/>
                <w:highlight w:val="none"/>
              </w:rPr>
              <w:t xml:space="preserve">电汇 </w:t>
            </w:r>
            <w:r>
              <w:rPr>
                <w:rFonts w:ascii="仿宋_GB2312" w:hAnsi="仿宋_GB2312" w:eastAsia="仿宋_GB2312" w:cs="仿宋_GB2312"/>
                <w:color w:val="auto"/>
                <w:szCs w:val="21"/>
                <w:highlight w:val="none"/>
              </w:rPr>
              <w:t xml:space="preserve"> </w:t>
            </w:r>
            <w:r>
              <w:rPr>
                <w:rFonts w:hint="eastAsia" w:ascii="仿宋_GB2312" w:hAnsi="仿宋_GB2312" w:eastAsia="仿宋_GB2312" w:cs="仿宋_GB2312"/>
                <w:color w:val="auto"/>
                <w:szCs w:val="21"/>
                <w:highlight w:val="none"/>
              </w:rPr>
              <w:t>□其他</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保证金收款人银行信息：</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开 户 名：</w:t>
            </w:r>
            <w:r>
              <w:rPr>
                <w:rFonts w:hint="eastAsia" w:ascii="仿宋_GB2312" w:hAnsi="仿宋_GB2312" w:eastAsia="仿宋_GB2312" w:cs="仿宋_GB2312"/>
                <w:color w:val="auto"/>
                <w:kern w:val="0"/>
                <w:szCs w:val="21"/>
                <w:highlight w:val="none"/>
                <w:u w:val="single"/>
              </w:rPr>
              <w:t>辽宁乔泰全过程项目管理有限公司</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开 户 行：</w:t>
            </w:r>
            <w:r>
              <w:rPr>
                <w:rFonts w:hint="eastAsia" w:ascii="仿宋_GB2312" w:hAnsi="仿宋_GB2312" w:eastAsia="仿宋_GB2312" w:cs="仿宋_GB2312"/>
                <w:color w:val="auto"/>
                <w:kern w:val="0"/>
                <w:szCs w:val="21"/>
                <w:highlight w:val="none"/>
                <w:u w:val="single"/>
              </w:rPr>
              <w:t>招商银行沈阳分行北顺城支行</w:t>
            </w:r>
          </w:p>
          <w:p>
            <w:pPr>
              <w:ind w:firstLine="420"/>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szCs w:val="21"/>
                <w:highlight w:val="none"/>
              </w:rPr>
              <w:t>账    号：</w:t>
            </w:r>
            <w:r>
              <w:rPr>
                <w:rFonts w:hint="eastAsia" w:ascii="仿宋_GB2312" w:hAnsi="仿宋_GB2312" w:eastAsia="仿宋_GB2312" w:cs="仿宋_GB2312"/>
                <w:color w:val="auto"/>
                <w:kern w:val="0"/>
                <w:szCs w:val="21"/>
                <w:highlight w:val="none"/>
                <w:u w:val="single"/>
              </w:rPr>
              <w:t>124908422310901</w:t>
            </w:r>
          </w:p>
          <w:p>
            <w:pP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注：汇款请注明字样：“XX项目投标保证金”（注明项目编号）。</w:t>
            </w:r>
          </w:p>
          <w:p>
            <w:pPr>
              <w:numPr>
                <w:ilvl w:val="0"/>
                <w:numId w:val="2"/>
              </w:numPr>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szCs w:val="21"/>
                <w:highlight w:val="none"/>
              </w:rPr>
              <w:t>保证金退还方式：</w:t>
            </w:r>
          </w:p>
          <w:p>
            <w:pPr>
              <w:rPr>
                <w:rFonts w:ascii="仿宋_GB2312" w:hAnsi="仿宋_GB2312" w:eastAsia="仿宋_GB2312" w:cs="仿宋_GB2312"/>
                <w:b/>
                <w:bCs/>
                <w:color w:val="auto"/>
                <w:kern w:val="0"/>
                <w:szCs w:val="21"/>
                <w:highlight w:val="none"/>
                <w:u w:val="single"/>
              </w:rPr>
            </w:pPr>
            <w:r>
              <w:rPr>
                <w:rFonts w:hint="eastAsia" w:ascii="仿宋_GB2312" w:hAnsi="仿宋_GB2312" w:eastAsia="仿宋_GB2312" w:cs="仿宋_GB2312"/>
                <w:b/>
                <w:bCs/>
                <w:color w:val="auto"/>
                <w:kern w:val="0"/>
                <w:szCs w:val="21"/>
                <w:highlight w:val="none"/>
                <w:u w:val="single"/>
              </w:rPr>
              <w:t>未中标供应商的保证金将在中标通知书发出之日暨中标结果公告之日起5个工作日内、中标供应商的保证金将在与采购人签订合同之日起5个工作日内按汇入账号原路退还</w:t>
            </w:r>
            <w:r>
              <w:rPr>
                <w:rFonts w:hint="eastAsia" w:ascii="仿宋_GB2312" w:hAnsi="仿宋_GB2312" w:eastAsia="仿宋_GB2312" w:cs="仿宋_GB2312"/>
                <w:b/>
                <w:bCs/>
                <w:color w:val="auto"/>
                <w:kern w:val="0"/>
                <w:szCs w:val="21"/>
                <w:highlight w:val="none"/>
              </w:rPr>
              <w:t>。</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kern w:val="0"/>
                <w:szCs w:val="21"/>
                <w:highlight w:val="none"/>
                <w:u w:val="single"/>
              </w:rPr>
              <w:t>中标供应商应在与采购人签订合同当日将合同原件1份返还至代理公司，否则因逾期返还合同造成保证金退还延迟的，由供应商自行承担责任</w:t>
            </w:r>
            <w:r>
              <w:rPr>
                <w:rFonts w:hint="eastAsia" w:ascii="仿宋_GB2312" w:hAnsi="仿宋_GB2312" w:eastAsia="仿宋_GB2312" w:cs="仿宋_GB2312"/>
                <w:b/>
                <w:bCs/>
                <w:color w:val="auto"/>
                <w:kern w:val="0"/>
                <w:szCs w:val="21"/>
                <w:highlight w:val="none"/>
              </w:rPr>
              <w:t>。</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5、保证金退还咨询电话：</w:t>
            </w:r>
            <w:r>
              <w:rPr>
                <w:rFonts w:hint="eastAsia" w:ascii="仿宋_GB2312" w:hAnsi="仿宋_GB2312" w:eastAsia="仿宋_GB2312" w:cs="仿宋_GB2312"/>
                <w:color w:val="auto"/>
                <w:kern w:val="0"/>
                <w:szCs w:val="21"/>
                <w:highlight w:val="none"/>
                <w:u w:val="single"/>
              </w:rPr>
              <w:t>024-23883380转8088</w:t>
            </w:r>
          </w:p>
          <w:p>
            <w:pPr>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6、其它：</w:t>
            </w:r>
            <w:r>
              <w:rPr>
                <w:rFonts w:hint="eastAsia" w:ascii="仿宋_GB2312" w:hAnsi="仿宋_GB2312" w:eastAsia="仿宋_GB2312" w:cs="仿宋_GB2312"/>
                <w:color w:val="auto"/>
                <w:szCs w:val="21"/>
                <w:highlight w:val="none"/>
                <w:u w:val="single"/>
              </w:rPr>
              <w:t xml:space="preserve">   无   </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（注：财政部门鼓励采用保函的方式递交投标保证金，具体办理流程参阅辽宁政府采购网）</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15.1</w:t>
            </w:r>
          </w:p>
        </w:tc>
        <w:tc>
          <w:tcPr>
            <w:tcW w:w="1917"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投标有效期</w:t>
            </w:r>
          </w:p>
        </w:tc>
        <w:tc>
          <w:tcPr>
            <w:tcW w:w="5887" w:type="dxa"/>
            <w:tcBorders>
              <w:top w:val="single" w:color="auto" w:sz="4" w:space="0"/>
              <w:left w:val="nil"/>
              <w:bottom w:val="single" w:color="auto" w:sz="8" w:space="0"/>
              <w:right w:val="single" w:color="auto" w:sz="8" w:space="0"/>
            </w:tcBorders>
            <w:vAlign w:val="center"/>
          </w:tcPr>
          <w:p>
            <w:pPr>
              <w:pStyle w:val="8"/>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u w:val="single"/>
              </w:rPr>
              <w:t xml:space="preserve">  90  </w:t>
            </w:r>
            <w:r>
              <w:rPr>
                <w:rFonts w:hint="eastAsia" w:ascii="仿宋_GB2312" w:hAnsi="仿宋_GB2312" w:eastAsia="仿宋_GB2312" w:cs="仿宋_GB2312"/>
                <w:color w:val="auto"/>
                <w:kern w:val="0"/>
                <w:szCs w:val="21"/>
                <w:highlight w:val="none"/>
              </w:rPr>
              <w:t>日历日</w:t>
            </w:r>
          </w:p>
        </w:tc>
      </w:tr>
      <w:tr>
        <w:tblPrEx>
          <w:tblCellMar>
            <w:top w:w="0" w:type="dxa"/>
            <w:left w:w="108" w:type="dxa"/>
            <w:bottom w:w="0" w:type="dxa"/>
            <w:right w:w="108" w:type="dxa"/>
          </w:tblCellMar>
        </w:tblPrEx>
        <w:trPr>
          <w:trHeight w:val="641"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投标文件及电子文档份数</w:t>
            </w:r>
          </w:p>
        </w:tc>
        <w:tc>
          <w:tcPr>
            <w:tcW w:w="5887" w:type="dxa"/>
            <w:tcBorders>
              <w:top w:val="nil"/>
              <w:left w:val="nil"/>
              <w:bottom w:val="single" w:color="auto" w:sz="4" w:space="0"/>
              <w:right w:val="single" w:color="auto" w:sz="8" w:space="0"/>
            </w:tcBorders>
            <w:vAlign w:val="center"/>
          </w:tcPr>
          <w:p>
            <w:pPr>
              <w:widowControl/>
              <w:numPr>
                <w:ilvl w:val="0"/>
                <w:numId w:val="3"/>
              </w:numP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辽宁政府采购网电子评审系统上传电子文件1份；</w:t>
            </w:r>
          </w:p>
          <w:p>
            <w:pPr>
              <w:widowControl/>
              <w:numPr>
                <w:ilvl w:val="0"/>
                <w:numId w:val="3"/>
              </w:numP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现场密封递交与上传电子文件内容及格式相一致的可加密备份文件（U盘）1份。</w:t>
            </w:r>
          </w:p>
          <w:p>
            <w:pPr>
              <w:widowControl/>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备份文件应与电子评审系统中上传的电子文件内容、格式完全一致，以备系统突发故障使用。供应商仅提交备份文件但未上传电子文件的，投标无效。</w:t>
            </w:r>
          </w:p>
          <w:p>
            <w:pPr>
              <w:widowControl/>
              <w:rPr>
                <w:rFonts w:ascii="仿宋_GB2312" w:hAnsi="仿宋_GB2312" w:eastAsia="仿宋_GB2312" w:cs="仿宋_GB2312"/>
                <w:b/>
                <w:bCs/>
                <w:color w:val="auto"/>
                <w:sz w:val="24"/>
                <w:highlight w:val="none"/>
              </w:rPr>
            </w:pPr>
          </w:p>
          <w:p>
            <w:pPr>
              <w:widowControl/>
              <w:rPr>
                <w:rFonts w:ascii="仿宋_GB2312" w:hAnsi="仿宋_GB2312" w:eastAsia="仿宋_GB2312" w:cs="仿宋_GB2312"/>
                <w:b/>
                <w:bCs/>
                <w:color w:val="auto"/>
                <w:sz w:val="24"/>
                <w:highlight w:val="none"/>
              </w:rPr>
            </w:pPr>
          </w:p>
          <w:p>
            <w:pPr>
              <w:widowControl/>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重要提示：</w:t>
            </w:r>
          </w:p>
          <w:p>
            <w:pPr>
              <w:widowControl/>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电子文件及备份文件必须按采购文件要求进行签字盖章，若未按照采购文件要求进行签字盖章，其投标将被认定为无效投标。</w:t>
            </w:r>
          </w:p>
          <w:p>
            <w:pPr>
              <w:widowControl/>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sz w:val="24"/>
                <w:highlight w:val="none"/>
              </w:rPr>
              <w:t>因未递交备份文件而导致系统突发故障时无法正常评审的，由供应商承担投标无效等不利后果。</w:t>
            </w:r>
          </w:p>
        </w:tc>
      </w:tr>
      <w:tr>
        <w:tblPrEx>
          <w:tblCellMar>
            <w:top w:w="0" w:type="dxa"/>
            <w:left w:w="108" w:type="dxa"/>
            <w:bottom w:w="0" w:type="dxa"/>
            <w:right w:w="108" w:type="dxa"/>
          </w:tblCellMar>
        </w:tblPrEx>
        <w:trPr>
          <w:trHeight w:val="631"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18.1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递交投标文件截止时间、地点</w:t>
            </w:r>
          </w:p>
        </w:tc>
        <w:tc>
          <w:tcPr>
            <w:tcW w:w="5887"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t>详见招标公告，以招标公告规定时间、地点为准。</w:t>
            </w:r>
          </w:p>
        </w:tc>
      </w:tr>
      <w:tr>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开标时间、地点</w:t>
            </w:r>
          </w:p>
        </w:tc>
        <w:tc>
          <w:tcPr>
            <w:tcW w:w="5887"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详见招标公告，以招标公告规定时间、地点为准。</w:t>
            </w:r>
          </w:p>
        </w:tc>
      </w:tr>
      <w:tr>
        <w:tblPrEx>
          <w:tblCellMar>
            <w:top w:w="0" w:type="dxa"/>
            <w:left w:w="108" w:type="dxa"/>
            <w:bottom w:w="0" w:type="dxa"/>
            <w:right w:w="108" w:type="dxa"/>
          </w:tblCellMar>
        </w:tblPrEx>
        <w:trPr>
          <w:trHeight w:val="613"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21</w:t>
            </w:r>
          </w:p>
        </w:tc>
        <w:tc>
          <w:tcPr>
            <w:tcW w:w="1917"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评标委员会组成</w:t>
            </w:r>
          </w:p>
        </w:tc>
        <w:tc>
          <w:tcPr>
            <w:tcW w:w="5887" w:type="dxa"/>
            <w:tcBorders>
              <w:top w:val="nil"/>
              <w:left w:val="nil"/>
              <w:bottom w:val="single" w:color="auto" w:sz="4" w:space="0"/>
              <w:right w:val="single" w:color="auto" w:sz="8" w:space="0"/>
            </w:tcBorders>
            <w:vAlign w:val="center"/>
          </w:tcPr>
          <w:p>
            <w:pPr>
              <w:widowControl/>
              <w:ind w:left="420" w:hanging="420" w:hanging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评标委员会由采购人代表</w:t>
            </w:r>
            <w:r>
              <w:rPr>
                <w:rFonts w:hint="eastAsia" w:ascii="仿宋_GB2312" w:hAnsi="仿宋_GB2312" w:eastAsia="仿宋_GB2312" w:cs="仿宋_GB2312"/>
                <w:color w:val="auto"/>
                <w:szCs w:val="21"/>
                <w:highlight w:val="none"/>
                <w:u w:val="single"/>
              </w:rPr>
              <w:t xml:space="preserve"> 1 </w:t>
            </w:r>
            <w:r>
              <w:rPr>
                <w:rFonts w:hint="eastAsia" w:ascii="仿宋_GB2312" w:hAnsi="仿宋_GB2312" w:eastAsia="仿宋_GB2312" w:cs="仿宋_GB2312"/>
                <w:color w:val="auto"/>
                <w:szCs w:val="21"/>
                <w:highlight w:val="none"/>
              </w:rPr>
              <w:t>人，评审专家</w:t>
            </w:r>
            <w:r>
              <w:rPr>
                <w:rFonts w:hint="eastAsia" w:ascii="仿宋_GB2312" w:hAnsi="仿宋_GB2312" w:eastAsia="仿宋_GB2312" w:cs="仿宋_GB2312"/>
                <w:color w:val="auto"/>
                <w:szCs w:val="21"/>
                <w:highlight w:val="none"/>
                <w:u w:val="single"/>
              </w:rPr>
              <w:t xml:space="preserve"> 4 </w:t>
            </w:r>
            <w:r>
              <w:rPr>
                <w:rFonts w:hint="eastAsia" w:ascii="仿宋_GB2312" w:hAnsi="仿宋_GB2312" w:eastAsia="仿宋_GB2312" w:cs="仿宋_GB2312"/>
                <w:color w:val="auto"/>
                <w:szCs w:val="21"/>
                <w:highlight w:val="none"/>
              </w:rPr>
              <w:t>人组成，共</w:t>
            </w:r>
            <w:r>
              <w:rPr>
                <w:rFonts w:hint="eastAsia" w:ascii="仿宋_GB2312" w:hAnsi="仿宋_GB2312" w:eastAsia="仿宋_GB2312" w:cs="仿宋_GB2312"/>
                <w:color w:val="auto"/>
                <w:szCs w:val="21"/>
                <w:highlight w:val="none"/>
                <w:u w:val="single"/>
              </w:rPr>
              <w:t xml:space="preserve"> 5 </w:t>
            </w:r>
            <w:r>
              <w:rPr>
                <w:rFonts w:hint="eastAsia" w:ascii="仿宋_GB2312" w:hAnsi="仿宋_GB2312" w:eastAsia="仿宋_GB2312" w:cs="仿宋_GB2312"/>
                <w:color w:val="auto"/>
                <w:szCs w:val="21"/>
                <w:highlight w:val="none"/>
              </w:rPr>
              <w:t xml:space="preserve">人。 </w:t>
            </w:r>
          </w:p>
        </w:tc>
      </w:tr>
      <w:tr>
        <w:tblPrEx>
          <w:tblCellMar>
            <w:top w:w="0" w:type="dxa"/>
            <w:left w:w="108" w:type="dxa"/>
            <w:bottom w:w="0" w:type="dxa"/>
            <w:right w:w="108" w:type="dxa"/>
          </w:tblCellMar>
        </w:tblPrEx>
        <w:trPr>
          <w:trHeight w:val="2183"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样品的评审方法以及评审标准</w:t>
            </w:r>
          </w:p>
          <w:p>
            <w:pPr>
              <w:shd w:val="clear" w:color="auto" w:fill="FFFFFF"/>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演示的评审方法及评审标准</w:t>
            </w:r>
          </w:p>
        </w:tc>
        <w:tc>
          <w:tcPr>
            <w:tcW w:w="5887"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bCs/>
                <w:color w:val="auto"/>
                <w:kern w:val="0"/>
                <w:szCs w:val="21"/>
                <w:highlight w:val="none"/>
              </w:rPr>
              <w:t>样品：</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1、样品评审方法：</w:t>
            </w:r>
            <w:r>
              <w:rPr>
                <w:rFonts w:hint="eastAsia" w:ascii="仿宋_GB2312" w:hAnsi="仿宋_GB2312" w:eastAsia="仿宋_GB2312" w:cs="仿宋_GB2312"/>
                <w:color w:val="auto"/>
                <w:kern w:val="0"/>
                <w:szCs w:val="21"/>
                <w:highlight w:val="none"/>
                <w:u w:val="single"/>
              </w:rPr>
              <w:t xml:space="preserve">              </w:t>
            </w:r>
          </w:p>
          <w:p>
            <w:pPr>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t>2、样品评审标准：</w:t>
            </w:r>
            <w:r>
              <w:rPr>
                <w:rFonts w:hint="eastAsia" w:ascii="仿宋_GB2312" w:hAnsi="仿宋_GB2312" w:eastAsia="仿宋_GB2312" w:cs="仿宋_GB2312"/>
                <w:color w:val="auto"/>
                <w:kern w:val="0"/>
                <w:szCs w:val="21"/>
                <w:highlight w:val="none"/>
                <w:u w:val="single"/>
              </w:rPr>
              <w:t xml:space="preserve">              </w:t>
            </w:r>
          </w:p>
          <w:p>
            <w:pPr>
              <w:rPr>
                <w:rFonts w:ascii="仿宋_GB2312" w:hAnsi="仿宋_GB2312" w:eastAsia="仿宋_GB2312" w:cs="仿宋_GB2312"/>
                <w:color w:val="auto"/>
                <w:kern w:val="0"/>
                <w:szCs w:val="21"/>
                <w:highlight w:val="none"/>
                <w:u w:val="single"/>
              </w:rPr>
            </w:pP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color w:val="auto"/>
                <w:kern w:val="0"/>
                <w:szCs w:val="21"/>
                <w:highlight w:val="none"/>
              </w:rPr>
              <w:t>演示：</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1、演示评审方法：</w:t>
            </w:r>
            <w:r>
              <w:rPr>
                <w:rFonts w:hint="eastAsia" w:ascii="仿宋_GB2312" w:hAnsi="仿宋_GB2312" w:eastAsia="仿宋_GB2312" w:cs="仿宋_GB2312"/>
                <w:color w:val="auto"/>
                <w:kern w:val="0"/>
                <w:szCs w:val="21"/>
                <w:highlight w:val="none"/>
                <w:u w:val="single"/>
              </w:rPr>
              <w:t xml:space="preserve">              </w:t>
            </w:r>
          </w:p>
          <w:p>
            <w:pPr>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t>2、演示评审标准：</w:t>
            </w:r>
            <w:r>
              <w:rPr>
                <w:rFonts w:hint="eastAsia" w:ascii="仿宋_GB2312" w:hAnsi="仿宋_GB2312" w:eastAsia="仿宋_GB2312" w:cs="仿宋_GB2312"/>
                <w:color w:val="auto"/>
                <w:kern w:val="0"/>
                <w:szCs w:val="21"/>
                <w:highlight w:val="none"/>
                <w:u w:val="single"/>
              </w:rPr>
              <w:t xml:space="preserve">              </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27.2</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评标办法</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sym w:font="Wingdings 2" w:char="0052"/>
            </w:r>
            <w:r>
              <w:rPr>
                <w:rFonts w:hint="eastAsia" w:ascii="仿宋_GB2312" w:hAnsi="仿宋_GB2312" w:eastAsia="仿宋_GB2312" w:cs="仿宋_GB2312"/>
                <w:color w:val="auto"/>
                <w:szCs w:val="21"/>
                <w:highlight w:val="none"/>
              </w:rPr>
              <w:t>综合评分法</w:t>
            </w:r>
          </w:p>
          <w:p>
            <w:pPr>
              <w:widowControl/>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rPr>
              <w:t xml:space="preserve">最低评标价法 </w:t>
            </w:r>
          </w:p>
        </w:tc>
      </w:tr>
      <w:tr>
        <w:tblPrEx>
          <w:tblCellMar>
            <w:top w:w="0" w:type="dxa"/>
            <w:left w:w="108" w:type="dxa"/>
            <w:bottom w:w="0" w:type="dxa"/>
            <w:right w:w="108" w:type="dxa"/>
          </w:tblCellMar>
        </w:tblPrEx>
        <w:trPr>
          <w:trHeight w:val="631"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29.2</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推荐中标候选人的数量</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u w:val="single"/>
              </w:rPr>
              <w:t xml:space="preserve">  3  </w:t>
            </w:r>
          </w:p>
        </w:tc>
      </w:tr>
      <w:tr>
        <w:tblPrEx>
          <w:tblCellMar>
            <w:top w:w="0" w:type="dxa"/>
            <w:left w:w="108" w:type="dxa"/>
            <w:bottom w:w="0" w:type="dxa"/>
            <w:right w:w="108" w:type="dxa"/>
          </w:tblCellMar>
        </w:tblPrEx>
        <w:trPr>
          <w:trHeight w:val="947"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确定中标人的方式</w:t>
            </w:r>
          </w:p>
        </w:tc>
        <w:tc>
          <w:tcPr>
            <w:tcW w:w="5887"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中标人数量：</w:t>
            </w:r>
            <w:r>
              <w:rPr>
                <w:rFonts w:hint="eastAsia" w:ascii="仿宋_GB2312" w:hAnsi="仿宋_GB2312" w:eastAsia="仿宋_GB2312" w:cs="仿宋_GB2312"/>
                <w:color w:val="auto"/>
                <w:kern w:val="0"/>
                <w:szCs w:val="21"/>
                <w:highlight w:val="none"/>
                <w:u w:val="single"/>
              </w:rPr>
              <w:t xml:space="preserve">   1   </w:t>
            </w:r>
          </w:p>
          <w:p>
            <w:pPr>
              <w:widowControl/>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sym w:font="Wingdings 2" w:char="00A3"/>
            </w:r>
            <w:r>
              <w:rPr>
                <w:rFonts w:hint="eastAsia" w:ascii="仿宋_GB2312" w:hAnsi="仿宋_GB2312" w:eastAsia="仿宋_GB2312" w:cs="仿宋_GB2312"/>
                <w:color w:val="auto"/>
                <w:kern w:val="0"/>
                <w:szCs w:val="21"/>
                <w:highlight w:val="none"/>
              </w:rPr>
              <w:t>采购人委托评标委员会直接确定中标人</w:t>
            </w:r>
          </w:p>
          <w:p>
            <w:pPr>
              <w:widowControl/>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kern w:val="0"/>
                <w:szCs w:val="21"/>
                <w:highlight w:val="none"/>
              </w:rPr>
              <w:sym w:font="Wingdings 2" w:char="0052"/>
            </w:r>
            <w:r>
              <w:rPr>
                <w:rFonts w:hint="eastAsia" w:ascii="仿宋_GB2312" w:hAnsi="仿宋_GB2312" w:eastAsia="仿宋_GB2312" w:cs="仿宋_GB2312"/>
                <w:color w:val="auto"/>
                <w:kern w:val="0"/>
                <w:szCs w:val="21"/>
                <w:highlight w:val="none"/>
              </w:rPr>
              <w:t>采购人确定中标人</w:t>
            </w:r>
          </w:p>
        </w:tc>
      </w:tr>
      <w:tr>
        <w:tblPrEx>
          <w:tblCellMar>
            <w:top w:w="0" w:type="dxa"/>
            <w:left w:w="108" w:type="dxa"/>
            <w:bottom w:w="0" w:type="dxa"/>
            <w:right w:w="108" w:type="dxa"/>
          </w:tblCellMar>
        </w:tblPrEx>
        <w:trPr>
          <w:trHeight w:val="375"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35.1</w:t>
            </w:r>
          </w:p>
        </w:tc>
        <w:tc>
          <w:tcPr>
            <w:tcW w:w="1917"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履约保证金</w:t>
            </w:r>
          </w:p>
        </w:tc>
        <w:tc>
          <w:tcPr>
            <w:tcW w:w="5887"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sym w:font="Wingdings 2" w:char="0052"/>
            </w:r>
            <w:r>
              <w:rPr>
                <w:rFonts w:hint="eastAsia" w:ascii="仿宋_GB2312" w:hAnsi="仿宋_GB2312" w:eastAsia="仿宋_GB2312" w:cs="仿宋_GB2312"/>
                <w:color w:val="auto"/>
                <w:szCs w:val="21"/>
                <w:highlight w:val="none"/>
              </w:rPr>
              <w:t>本项目不收取履约保证金</w:t>
            </w:r>
          </w:p>
          <w:p>
            <w:pPr>
              <w:shd w:val="clear" w:color="auto" w:fill="FFFFFF"/>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rPr>
              <w:t>本项目收取履约保证金</w:t>
            </w:r>
          </w:p>
          <w:p>
            <w:pPr>
              <w:shd w:val="clear" w:color="auto" w:fill="FFFFFF"/>
              <w:ind w:firstLine="210" w:firstLineChars="1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履约保证金金额：</w:t>
            </w:r>
            <w:r>
              <w:rPr>
                <w:rFonts w:hint="eastAsia" w:ascii="仿宋_GB2312" w:hAnsi="仿宋_GB2312" w:eastAsia="仿宋_GB2312" w:cs="仿宋_GB2312"/>
                <w:color w:val="auto"/>
                <w:kern w:val="0"/>
                <w:szCs w:val="21"/>
                <w:highlight w:val="none"/>
                <w:u w:val="single"/>
              </w:rPr>
              <w:t xml:space="preserve">                 </w:t>
            </w:r>
          </w:p>
          <w:p>
            <w:pPr>
              <w:shd w:val="clear" w:color="auto" w:fill="FFFFFF"/>
              <w:ind w:firstLine="210" w:firstLineChars="1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履约保证金递交时间：</w:t>
            </w:r>
            <w:r>
              <w:rPr>
                <w:rFonts w:hint="eastAsia" w:ascii="仿宋_GB2312" w:hAnsi="仿宋_GB2312" w:eastAsia="仿宋_GB2312" w:cs="仿宋_GB2312"/>
                <w:color w:val="auto"/>
                <w:kern w:val="0"/>
                <w:szCs w:val="21"/>
                <w:highlight w:val="none"/>
                <w:u w:val="single"/>
              </w:rPr>
              <w:t xml:space="preserve">             </w:t>
            </w:r>
          </w:p>
          <w:p>
            <w:pPr>
              <w:shd w:val="clear" w:color="auto" w:fill="FFFFFF"/>
              <w:ind w:firstLine="210" w:firstLineChars="1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履约保证金递交方式：□保函   □支票  □电汇</w:t>
            </w:r>
          </w:p>
          <w:p>
            <w:pPr>
              <w:shd w:val="clear" w:color="auto" w:fill="FFFFFF"/>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账户信息：</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开 户 名：</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szCs w:val="21"/>
                <w:highlight w:val="none"/>
              </w:rPr>
              <w:t xml:space="preserve"> </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开 户 行：</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szCs w:val="21"/>
                <w:highlight w:val="none"/>
              </w:rPr>
              <w:t xml:space="preserve"> </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账    号：</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szCs w:val="21"/>
                <w:highlight w:val="none"/>
              </w:rPr>
              <w:t xml:space="preserve"> </w:t>
            </w:r>
          </w:p>
          <w:p>
            <w:pPr>
              <w:shd w:val="clear" w:color="auto" w:fill="FFFFFF"/>
              <w:ind w:firstLine="210" w:firstLineChars="1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履约保证金退还时间及规定：</w:t>
            </w:r>
            <w:r>
              <w:rPr>
                <w:rFonts w:hint="eastAsia" w:ascii="仿宋_GB2312" w:hAnsi="仿宋_GB2312" w:eastAsia="仿宋_GB2312" w:cs="仿宋_GB2312"/>
                <w:color w:val="auto"/>
                <w:kern w:val="0"/>
                <w:szCs w:val="21"/>
                <w:highlight w:val="none"/>
                <w:u w:val="single"/>
              </w:rPr>
              <w:t xml:space="preserve">   </w:t>
            </w:r>
          </w:p>
          <w:p>
            <w:pPr>
              <w:shd w:val="clear" w:color="auto" w:fill="FFFFFF"/>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szCs w:val="21"/>
                <w:highlight w:val="none"/>
              </w:rPr>
              <w:t>（注：财政部门鼓励采用保函的方式递交履约保证金，具体办理流程参阅辽宁政府采购网）</w:t>
            </w:r>
          </w:p>
        </w:tc>
      </w:tr>
      <w:tr>
        <w:tblPrEx>
          <w:tblCellMar>
            <w:top w:w="0" w:type="dxa"/>
            <w:left w:w="108" w:type="dxa"/>
            <w:bottom w:w="0" w:type="dxa"/>
            <w:right w:w="108" w:type="dxa"/>
          </w:tblCellMar>
        </w:tblPrEx>
        <w:trPr>
          <w:trHeight w:val="1252" w:hRule="atLeast"/>
        </w:trPr>
        <w:tc>
          <w:tcPr>
            <w:tcW w:w="852" w:type="dxa"/>
            <w:tcBorders>
              <w:top w:val="nil"/>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tc>
        <w:tc>
          <w:tcPr>
            <w:tcW w:w="1917" w:type="dxa"/>
            <w:tcBorders>
              <w:top w:val="nil"/>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采购代理服务费</w:t>
            </w:r>
          </w:p>
        </w:tc>
        <w:tc>
          <w:tcPr>
            <w:tcW w:w="5887" w:type="dxa"/>
            <w:tcBorders>
              <w:top w:val="nil"/>
              <w:left w:val="nil"/>
              <w:bottom w:val="single" w:color="auto" w:sz="8" w:space="0"/>
              <w:right w:val="single" w:color="auto" w:sz="8" w:space="0"/>
            </w:tcBorders>
            <w:vAlign w:val="center"/>
          </w:tcPr>
          <w:p>
            <w:pPr>
              <w:shd w:val="clear" w:color="auto" w:fill="FFFFFF"/>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Cs w:val="21"/>
                <w:highlight w:val="none"/>
              </w:rPr>
              <w:t>本项目不收取</w:t>
            </w:r>
            <w:r>
              <w:rPr>
                <w:rFonts w:hint="eastAsia" w:ascii="仿宋_GB2312" w:hAnsi="仿宋_GB2312" w:eastAsia="仿宋_GB2312" w:cs="仿宋_GB2312"/>
                <w:color w:val="auto"/>
                <w:kern w:val="0"/>
                <w:szCs w:val="21"/>
                <w:highlight w:val="none"/>
              </w:rPr>
              <w:t>采购代理服务费</w:t>
            </w:r>
          </w:p>
          <w:p>
            <w:pPr>
              <w:shd w:val="clear" w:color="auto" w:fill="FFFFFF"/>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sym w:font="Wingdings 2" w:char="0052"/>
            </w:r>
            <w:r>
              <w:rPr>
                <w:rFonts w:hint="eastAsia" w:ascii="仿宋_GB2312" w:hAnsi="仿宋_GB2312" w:eastAsia="仿宋_GB2312" w:cs="仿宋_GB2312"/>
                <w:color w:val="auto"/>
                <w:szCs w:val="21"/>
                <w:highlight w:val="none"/>
              </w:rPr>
              <w:t>本项目收取</w:t>
            </w:r>
            <w:r>
              <w:rPr>
                <w:rFonts w:hint="eastAsia" w:ascii="仿宋_GB2312" w:hAnsi="仿宋_GB2312" w:eastAsia="仿宋_GB2312" w:cs="仿宋_GB2312"/>
                <w:color w:val="auto"/>
                <w:kern w:val="0"/>
                <w:szCs w:val="21"/>
                <w:highlight w:val="none"/>
              </w:rPr>
              <w:t>采购代理服务费</w:t>
            </w:r>
          </w:p>
          <w:p>
            <w:pPr>
              <w:widowControl/>
              <w:ind w:firstLine="210" w:firstLineChars="1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本项目采购代理服务费由</w:t>
            </w:r>
            <w:r>
              <w:rPr>
                <w:rFonts w:hint="eastAsia" w:ascii="仿宋_GB2312" w:hAnsi="仿宋_GB2312" w:eastAsia="仿宋_GB2312" w:cs="仿宋_GB2312"/>
                <w:color w:val="auto"/>
                <w:kern w:val="0"/>
                <w:szCs w:val="21"/>
                <w:highlight w:val="none"/>
                <w:u w:val="single"/>
              </w:rPr>
              <w:t xml:space="preserve">  中标供应商 </w:t>
            </w:r>
            <w:r>
              <w:rPr>
                <w:rFonts w:hint="eastAsia" w:ascii="仿宋_GB2312" w:hAnsi="仿宋_GB2312" w:eastAsia="仿宋_GB2312" w:cs="仿宋_GB2312"/>
                <w:color w:val="auto"/>
                <w:kern w:val="0"/>
                <w:szCs w:val="21"/>
                <w:highlight w:val="none"/>
              </w:rPr>
              <w:t>向采购代理机构予以支付。</w:t>
            </w:r>
          </w:p>
          <w:p>
            <w:pPr>
              <w:widowControl/>
              <w:ind w:firstLine="210" w:firstLineChars="1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支付标准：</w:t>
            </w:r>
            <w:r>
              <w:rPr>
                <w:rFonts w:hint="eastAsia" w:ascii="仿宋_GB2312" w:hAnsi="仿宋_GB2312" w:eastAsia="仿宋_GB2312" w:cs="仿宋_GB2312"/>
                <w:color w:val="auto"/>
                <w:kern w:val="0"/>
                <w:szCs w:val="21"/>
                <w:highlight w:val="none"/>
                <w:u w:val="single"/>
              </w:rPr>
              <w:t xml:space="preserve"> 参照国家计委印发的《招标代理服务收费管理暂行办法》（计价格）[2002]1980号之规定标准下浮10%收取</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kern w:val="0"/>
                <w:szCs w:val="21"/>
                <w:highlight w:val="none"/>
                <w:u w:val="single"/>
              </w:rPr>
              <w:t xml:space="preserve">  </w:t>
            </w:r>
          </w:p>
          <w:p>
            <w:pPr>
              <w:widowControl/>
              <w:ind w:firstLine="210" w:firstLineChars="1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支付形式：</w:t>
            </w:r>
            <w:r>
              <w:rPr>
                <w:rFonts w:hint="eastAsia" w:ascii="仿宋_GB2312" w:hAnsi="仿宋_GB2312" w:eastAsia="仿宋_GB2312" w:cs="仿宋_GB2312"/>
                <w:color w:val="auto"/>
                <w:kern w:val="0"/>
                <w:szCs w:val="21"/>
                <w:highlight w:val="none"/>
                <w:u w:val="single"/>
              </w:rPr>
              <w:t>现金或汇款</w:t>
            </w:r>
            <w:r>
              <w:rPr>
                <w:rFonts w:hint="eastAsia" w:ascii="仿宋_GB2312" w:hAnsi="仿宋_GB2312" w:eastAsia="仿宋_GB2312" w:cs="仿宋_GB2312"/>
                <w:color w:val="auto"/>
                <w:kern w:val="0"/>
                <w:szCs w:val="21"/>
                <w:highlight w:val="none"/>
              </w:rPr>
              <w:t xml:space="preserve">。 </w:t>
            </w:r>
          </w:p>
          <w:p>
            <w:pPr>
              <w:widowControl/>
              <w:ind w:firstLine="210" w:firstLineChars="1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支付时间：</w:t>
            </w:r>
            <w:r>
              <w:rPr>
                <w:rFonts w:hint="eastAsia" w:ascii="仿宋_GB2312" w:hAnsi="仿宋_GB2312" w:eastAsia="仿宋_GB2312" w:cs="仿宋_GB2312"/>
                <w:color w:val="auto"/>
                <w:kern w:val="0"/>
                <w:szCs w:val="21"/>
                <w:highlight w:val="none"/>
                <w:u w:val="single"/>
              </w:rPr>
              <w:t>领取中标通知书时一次性支付</w:t>
            </w:r>
            <w:r>
              <w:rPr>
                <w:rFonts w:hint="eastAsia" w:ascii="仿宋_GB2312" w:hAnsi="仿宋_GB2312" w:eastAsia="仿宋_GB2312" w:cs="仿宋_GB2312"/>
                <w:color w:val="auto"/>
                <w:kern w:val="0"/>
                <w:szCs w:val="21"/>
                <w:highlight w:val="none"/>
              </w:rPr>
              <w:t xml:space="preserve">。  </w:t>
            </w:r>
          </w:p>
        </w:tc>
      </w:tr>
      <w:tr>
        <w:tblPrEx>
          <w:tblCellMar>
            <w:top w:w="0" w:type="dxa"/>
            <w:left w:w="108" w:type="dxa"/>
            <w:bottom w:w="0" w:type="dxa"/>
            <w:right w:w="108" w:type="dxa"/>
          </w:tblCellMar>
        </w:tblPrEx>
        <w:trPr>
          <w:trHeight w:val="614" w:hRule="atLeast"/>
        </w:trPr>
        <w:tc>
          <w:tcPr>
            <w:tcW w:w="852" w:type="dxa"/>
            <w:tcBorders>
              <w:top w:val="single" w:color="auto" w:sz="4" w:space="0"/>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39.3</w:t>
            </w:r>
          </w:p>
        </w:tc>
        <w:tc>
          <w:tcPr>
            <w:tcW w:w="1917" w:type="dxa"/>
            <w:tcBorders>
              <w:top w:val="single" w:color="auto" w:sz="4" w:space="0"/>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质疑</w:t>
            </w:r>
          </w:p>
        </w:tc>
        <w:tc>
          <w:tcPr>
            <w:tcW w:w="5887" w:type="dxa"/>
            <w:tcBorders>
              <w:top w:val="single" w:color="auto" w:sz="4" w:space="0"/>
              <w:left w:val="nil"/>
              <w:bottom w:val="single" w:color="auto" w:sz="4" w:space="0"/>
              <w:right w:val="single" w:color="auto" w:sz="8" w:space="0"/>
            </w:tcBorders>
            <w:vAlign w:val="center"/>
          </w:tcPr>
          <w:p>
            <w:pPr>
              <w:widowControl/>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一、投标人认为自己的权益受到损害的，可以在知道或者应知其权益受到损害之日起七个工作日内，向采购代理机构提出质疑。</w:t>
            </w:r>
          </w:p>
          <w:p>
            <w:pPr>
              <w:widowControl/>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1、接收质疑函的方式：接收加盖单位公章的书面质疑函</w:t>
            </w:r>
          </w:p>
          <w:p>
            <w:pPr>
              <w:widowControl/>
              <w:ind w:firstLine="420" w:firstLineChars="200"/>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szCs w:val="21"/>
                <w:highlight w:val="none"/>
              </w:rPr>
              <w:t>联系单位：</w:t>
            </w:r>
            <w:r>
              <w:rPr>
                <w:rFonts w:hint="eastAsia" w:ascii="仿宋_GB2312" w:hAnsi="仿宋_GB2312" w:eastAsia="仿宋_GB2312" w:cs="仿宋_GB2312"/>
                <w:color w:val="auto"/>
                <w:szCs w:val="21"/>
                <w:highlight w:val="none"/>
                <w:u w:val="single"/>
              </w:rPr>
              <w:t>辽宁乔泰全过程项目管理有限公司</w:t>
            </w:r>
          </w:p>
          <w:p>
            <w:pPr>
              <w:widowControl/>
              <w:ind w:firstLine="420" w:firstLineChars="200"/>
              <w:rPr>
                <w:rFonts w:ascii="仿宋_GB2312" w:hAnsi="仿宋_GB2312" w:eastAsia="仿宋_GB2312" w:cs="仿宋_GB2312"/>
                <w:color w:val="auto"/>
                <w:kern w:val="0"/>
                <w:szCs w:val="21"/>
                <w:highlight w:val="none"/>
                <w:u w:val="single"/>
              </w:rPr>
            </w:pPr>
            <w:r>
              <w:rPr>
                <w:rFonts w:hint="eastAsia" w:ascii="仿宋_GB2312" w:hAnsi="仿宋_GB2312" w:eastAsia="仿宋_GB2312" w:cs="仿宋_GB2312"/>
                <w:color w:val="auto"/>
                <w:szCs w:val="21"/>
                <w:highlight w:val="none"/>
              </w:rPr>
              <w:t>联 系 人：</w:t>
            </w:r>
            <w:r>
              <w:rPr>
                <w:rFonts w:hint="eastAsia" w:ascii="仿宋_GB2312" w:hAnsi="仿宋_GB2312" w:eastAsia="仿宋_GB2312" w:cs="仿宋_GB2312"/>
                <w:color w:val="auto"/>
                <w:kern w:val="0"/>
                <w:szCs w:val="21"/>
                <w:highlight w:val="none"/>
                <w:u w:val="single"/>
              </w:rPr>
              <w:t>张建、宋盈达、褚亚楠</w:t>
            </w:r>
          </w:p>
          <w:p>
            <w:pPr>
              <w:widowControl/>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联系电话：</w:t>
            </w:r>
            <w:r>
              <w:rPr>
                <w:rFonts w:hint="eastAsia" w:ascii="仿宋_GB2312" w:hAnsi="仿宋_GB2312" w:eastAsia="仿宋_GB2312" w:cs="仿宋_GB2312"/>
                <w:color w:val="auto"/>
                <w:kern w:val="0"/>
                <w:szCs w:val="21"/>
                <w:highlight w:val="none"/>
                <w:u w:val="single"/>
              </w:rPr>
              <w:t>024-23883380-8029</w:t>
            </w:r>
          </w:p>
          <w:p>
            <w:pPr>
              <w:widowControl/>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通讯地址：</w:t>
            </w:r>
            <w:r>
              <w:rPr>
                <w:rFonts w:hint="eastAsia" w:ascii="仿宋_GB2312" w:hAnsi="仿宋_GB2312" w:eastAsia="仿宋_GB2312" w:cs="仿宋_GB2312"/>
                <w:color w:val="auto"/>
                <w:kern w:val="0"/>
                <w:szCs w:val="21"/>
                <w:highlight w:val="none"/>
                <w:u w:val="single"/>
              </w:rPr>
              <w:t>沈阳市沈河区西顺城内街61号</w:t>
            </w:r>
          </w:p>
          <w:p>
            <w:pPr>
              <w:widowControl/>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2、质疑函的内容、格式：应符合《政府采购质疑和投诉办法》相关规定和财政部门制定的《政府采购质疑函范本》格式。</w:t>
            </w:r>
          </w:p>
          <w:p>
            <w:pPr>
              <w:pStyle w:val="8"/>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二、投标人应在法定质疑期内一次性针对同一采购程序环节提出质疑，否则针对再次提出质疑将不予接收。（采购程序环节分为：</w:t>
            </w:r>
            <w:r>
              <w:rPr>
                <w:rFonts w:hint="eastAsia" w:ascii="仿宋_GB2312" w:hAnsi="仿宋_GB2312" w:eastAsia="仿宋_GB2312" w:cs="仿宋_GB2312"/>
                <w:color w:val="auto"/>
                <w:kern w:val="0"/>
                <w:szCs w:val="21"/>
                <w:highlight w:val="none"/>
              </w:rPr>
              <w:t>招标</w:t>
            </w:r>
            <w:r>
              <w:rPr>
                <w:rFonts w:hint="eastAsia" w:ascii="仿宋_GB2312" w:hAnsi="仿宋_GB2312" w:eastAsia="仿宋_GB2312" w:cs="仿宋_GB2312"/>
                <w:color w:val="auto"/>
                <w:szCs w:val="21"/>
                <w:highlight w:val="none"/>
              </w:rPr>
              <w:t>公告、招标文件、招标过程、中标结果）</w:t>
            </w:r>
          </w:p>
        </w:tc>
      </w:tr>
      <w:tr>
        <w:tblPrEx>
          <w:tblCellMar>
            <w:top w:w="0" w:type="dxa"/>
            <w:left w:w="108" w:type="dxa"/>
            <w:bottom w:w="0" w:type="dxa"/>
            <w:right w:w="108" w:type="dxa"/>
          </w:tblCellMar>
        </w:tblPrEx>
        <w:trPr>
          <w:trHeight w:val="614" w:hRule="atLeast"/>
        </w:trPr>
        <w:tc>
          <w:tcPr>
            <w:tcW w:w="852"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color w:val="auto"/>
                <w:kern w:val="0"/>
                <w:szCs w:val="21"/>
                <w:highlight w:val="none"/>
              </w:rPr>
            </w:pPr>
          </w:p>
        </w:tc>
        <w:tc>
          <w:tcPr>
            <w:tcW w:w="1917" w:type="dxa"/>
            <w:tcBorders>
              <w:top w:val="single" w:color="auto" w:sz="4" w:space="0"/>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其他</w:t>
            </w:r>
          </w:p>
        </w:tc>
        <w:tc>
          <w:tcPr>
            <w:tcW w:w="5887" w:type="dxa"/>
            <w:tcBorders>
              <w:top w:val="single" w:color="auto" w:sz="4" w:space="0"/>
              <w:left w:val="nil"/>
              <w:bottom w:val="single" w:color="auto" w:sz="8" w:space="0"/>
              <w:right w:val="single" w:color="auto" w:sz="8" w:space="0"/>
            </w:tcBorders>
            <w:vAlign w:val="center"/>
          </w:tcPr>
          <w:p>
            <w:pPr>
              <w:pStyle w:val="8"/>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供应商须及时办理CA数字证书，否则应自行承担无法正常参与项目的不利后果。供应商应详阅辽宁政府采购网首页”办事指南”中的“辽宁政府采购网关于办理CA数字证书的操作手册”和“辽宁政府采购网新版系统供应商操作手册”，具体规定详见《关于启用政府采购数字认证和电子招投标业务有关事宜的通知》（辽财采〔2020〕298号）</w:t>
            </w:r>
          </w:p>
          <w:p>
            <w:pPr>
              <w:pStyle w:val="8"/>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（2）现场或远程完成投标文件解密。现场解密的，请供应商携带CA、笔记本电脑等相关设备（电脑需提前下载所办CA的插件）。</w:t>
            </w:r>
          </w:p>
          <w:p>
            <w:pPr>
              <w:pStyle w:val="8"/>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 w:val="24"/>
                <w:highlight w:val="none"/>
              </w:rPr>
              <w:t>电子文件解密时间：递交投标文件截止时间后进行解密，解密时间为30分钟内。未解密成功的，投标无效。</w:t>
            </w:r>
          </w:p>
        </w:tc>
      </w:tr>
    </w:tbl>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3注：表格中“</w:t>
      </w:r>
      <w:r>
        <w:rPr>
          <w:rFonts w:hint="eastAsia" w:ascii="仿宋_GB2312" w:hAnsi="仿宋_GB2312" w:eastAsia="仿宋_GB2312" w:cs="仿宋_GB2312"/>
          <w:color w:val="auto"/>
          <w:highlight w:val="none"/>
        </w:rPr>
        <w:sym w:font="Wingdings 2" w:char="0052"/>
      </w:r>
      <w:r>
        <w:rPr>
          <w:rFonts w:hint="eastAsia" w:ascii="仿宋_GB2312" w:hAnsi="仿宋_GB2312" w:eastAsia="仿宋_GB2312" w:cs="仿宋_GB2312"/>
          <w:color w:val="auto"/>
          <w:highlight w:val="none"/>
        </w:rPr>
        <w:t>”项或“■”项为被选中项。</w:t>
      </w:r>
    </w:p>
    <w:p>
      <w:pPr>
        <w:pStyle w:val="5"/>
        <w:adjustRightInd w:val="0"/>
        <w:snapToGrid w:val="0"/>
        <w:spacing w:before="0" w:after="0" w:line="360" w:lineRule="auto"/>
        <w:rPr>
          <w:rFonts w:ascii="仿宋_GB2312" w:hAnsi="仿宋_GB2312" w:eastAsia="仿宋_GB2312" w:cs="仿宋_GB2312"/>
          <w:color w:val="auto"/>
          <w:sz w:val="32"/>
          <w:szCs w:val="36"/>
          <w:highlight w:val="none"/>
        </w:rPr>
      </w:pPr>
      <w:r>
        <w:rPr>
          <w:rFonts w:hint="eastAsia" w:ascii="仿宋_GB2312" w:hAnsi="仿宋_GB2312" w:eastAsia="仿宋_GB2312" w:cs="仿宋_GB2312"/>
          <w:color w:val="auto"/>
          <w:sz w:val="21"/>
          <w:szCs w:val="21"/>
          <w:highlight w:val="none"/>
        </w:rPr>
        <w:br w:type="page"/>
      </w:r>
      <w:bookmarkStart w:id="36" w:name="_Toc30384_WPSOffice_Level2"/>
      <w:r>
        <w:rPr>
          <w:rFonts w:hint="eastAsia" w:ascii="仿宋_GB2312" w:hAnsi="仿宋_GB2312" w:eastAsia="仿宋_GB2312" w:cs="仿宋_GB2312"/>
          <w:color w:val="auto"/>
          <w:sz w:val="32"/>
          <w:szCs w:val="36"/>
          <w:highlight w:val="none"/>
        </w:rPr>
        <w:t>二 总则</w:t>
      </w:r>
      <w:bookmarkEnd w:id="36"/>
    </w:p>
    <w:p>
      <w:pPr>
        <w:adjustRightInd w:val="0"/>
        <w:snapToGrid w:val="0"/>
        <w:spacing w:line="360" w:lineRule="auto"/>
        <w:rPr>
          <w:rFonts w:ascii="仿宋_GB2312" w:hAnsi="仿宋_GB2312" w:eastAsia="仿宋_GB2312" w:cs="仿宋_GB2312"/>
          <w:b/>
          <w:bCs/>
          <w:color w:val="auto"/>
          <w:szCs w:val="21"/>
          <w:highlight w:val="none"/>
        </w:rPr>
      </w:pPr>
      <w:bookmarkStart w:id="37" w:name="_Toc17725_WPSOffice_Level1"/>
      <w:bookmarkStart w:id="38" w:name="_Toc6403"/>
      <w:r>
        <w:rPr>
          <w:rFonts w:hint="eastAsia" w:ascii="仿宋_GB2312" w:hAnsi="仿宋_GB2312" w:eastAsia="仿宋_GB2312" w:cs="仿宋_GB2312"/>
          <w:b/>
          <w:bCs/>
          <w:color w:val="auto"/>
          <w:szCs w:val="21"/>
          <w:highlight w:val="none"/>
        </w:rPr>
        <w:t>1.采购人、采购代理机构及投标人</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1.1采购人：是指依法进行政府采购的国家机关、事业单位、团体组织。本项目采购人见投标人须知表1.1款。</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1.2采购代理机构：是指集中采购机构或从事采购代理业务的社会中介机构，本项目的采购代理机构见投标人须知表1.2款。</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★1.3投标人：是指向采购人提供货物、工程或者服务的法人、非法人组织或者自然人。本项目的投标人及其投标货物须满足以下条件：</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1.3.1在中华人民共和国境内注册，能够独立承担民事责任，有生产或供应能力的本国供应商。</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1.3.2符合《中华人民共和国政府采购法》第二十二条关于供应商条件的规定，遵守本项目采购人本级和上级财政部门关于政府采购的有关规定。</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1.3.3以采购代理机构认可的方式获得了本项目的招标文件。</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1.3.4符合投标人须知表1.3.4款中规定的资格条件。</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1.3.5若投标人须知表1.3.5款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投标人应保证所投进口产品可履行合法报通关手续进入中国关境内，但不限制满足招标文件要求的国内产品参与投标。</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若投标人须知表1.3.5款中未写明允许采购进口产品，如投标人所投产品为进口产品，其投标将被认定为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1.3.6若投标人须知表1.3.6款中写明专门面向中小企业采购的，产品应由中小企业制造，即产品由中小企业生产且使用该中小企业商号或者注册商标，否则其投标将被认定为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1.3.7若投标人须知表1.3.7款中写明采购的产品为财政部、发展改革委、生态环境部等部门发布的品目清单中属于实施政府强制采购品目清单范围的节能产品，如投标人所投产品不具备依据国家确定的认证机构出具的、处于有效期之内的节能产品认证证书，其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★1.4如投标人须知表1.4款中允许联合体投标，对联合体规定如下：</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1.4.1两个以上供应商可以组成一个投标联合体，以一个投标人的身份投标。</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1.4.2联合体各方均应符合《中华人民共和国政府采购法》第二十二条规定的条件。</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1.4.3采购人根据采购项目对投标人的特殊要求，联合体中至少应当有一方符合相关规定。</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1.4.4联合体各方应签订共同投标协议，明确约定联合体各方承担的工作和相应的责任。</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1.4.5大中型企业、其他自然人、法人或者非法人组织与小型、微型企业组成联合体共同参加投标，共同投标协议中应写明小型、微型企业的协议合同金额占到共同投标协议投标总金额的比例。</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1.4.6联合体中有同类资质的供应商按照联合体分工承担相同工作的，按照较低的资质等级确定联合体的资质等级。</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1.4.7以联合体形式参加政府采购活动的，联合体各方不得再单独参加或者与其他供应商另外组成联合体参加本项目投标，否则相关投标将被认定为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（1）两个以上的自然人、法人或者其他组织可以组成一个联合体，以一个投标人的身份共同参加政府采购活动。</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（2）联合体中标的，联合体各方应共同与采购人签订采购合同，就采购合同约定的事项对采购人承担连带责任。</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1.4.8对联合体投标的其他资格要求见投标人须知表1.4.8款。</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★1.5单位负责人为同一人或者存在直接控股、管理关系的不同供应商，其相关投标将被认定为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★1.6为本项目提供过整体设计、规范编制或者项目管理、监理、检测等服务的供应商，不得再参加本项目上述服务以外的其他采购活动，否则其投标将被认定为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★1.7投标人在投标过程中不得向采购人提供、给予任何有价值的物品，影响其正常决策行为。一经发现，其将被认定为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2.资金来源</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2.1本项目的采购人已获得足以支付本次招标后所签订的合同项下的资金（包括财政性资金和本项目采购中无法与财政性资金分割的非财政性资金）。</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2.2项目预算金额和分项或分包最高限价见投标人须知表2.2款。</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2.3投标人报价超过招标文件规定的预算金额或者分项、分包最高限价的，其投标将被认定为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b/>
          <w:bCs/>
          <w:color w:val="auto"/>
          <w:szCs w:val="21"/>
          <w:highlight w:val="none"/>
        </w:rPr>
      </w:pPr>
      <w:bookmarkStart w:id="39" w:name="_Toc266951048"/>
      <w:r>
        <w:rPr>
          <w:rFonts w:hint="eastAsia" w:ascii="仿宋_GB2312" w:hAnsi="仿宋_GB2312" w:eastAsia="仿宋_GB2312" w:cs="仿宋_GB2312"/>
          <w:b/>
          <w:bCs/>
          <w:color w:val="auto"/>
          <w:szCs w:val="21"/>
          <w:highlight w:val="none"/>
        </w:rPr>
        <w:t>3.语言文字</w:t>
      </w:r>
      <w:bookmarkEnd w:id="39"/>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除专用术语外，与投标有关的语言均使用中文。必要时专用术语应附有中文注释。对不同文字文本投标文件的解释发生异议的，以中文文本为准。</w:t>
      </w:r>
    </w:p>
    <w:p>
      <w:pPr>
        <w:adjustRightInd w:val="0"/>
        <w:snapToGrid w:val="0"/>
        <w:spacing w:line="360" w:lineRule="auto"/>
        <w:rPr>
          <w:rFonts w:ascii="仿宋_GB2312" w:hAnsi="仿宋_GB2312" w:eastAsia="仿宋_GB2312" w:cs="仿宋_GB2312"/>
          <w:b/>
          <w:bCs/>
          <w:color w:val="auto"/>
          <w:szCs w:val="21"/>
          <w:highlight w:val="none"/>
        </w:rPr>
      </w:pPr>
      <w:bookmarkStart w:id="40" w:name="_1.8_计量单位"/>
      <w:bookmarkEnd w:id="40"/>
      <w:bookmarkStart w:id="41" w:name="_Toc266951049"/>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4.计量单位</w:t>
      </w:r>
      <w:bookmarkEnd w:id="41"/>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除投标人须知表4款中有特殊要求外，投标文件中所使用的计量单位，应采用中华人民共和国法定计量单位。</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5.投标费用</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不论投标的结果如何，投标人应承担所有与投标有关的费用。</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6.现场考察、开标前答疑会</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6.1</w:t>
      </w:r>
      <w:r>
        <w:rPr>
          <w:color w:val="auto"/>
          <w:highlight w:val="none"/>
        </w:rPr>
        <w:fldChar w:fldCharType="begin"/>
      </w:r>
      <w:r>
        <w:rPr>
          <w:color w:val="auto"/>
          <w:highlight w:val="none"/>
        </w:rPr>
        <w:instrText xml:space="preserve"> HYPERLINK \l "_踏勘现场" </w:instrText>
      </w:r>
      <w:r>
        <w:rPr>
          <w:color w:val="auto"/>
          <w:highlight w:val="none"/>
        </w:rPr>
        <w:fldChar w:fldCharType="separate"/>
      </w:r>
      <w:r>
        <w:rPr>
          <w:rFonts w:hint="eastAsia" w:ascii="仿宋_GB2312" w:hAnsi="仿宋_GB2312" w:eastAsia="仿宋_GB2312" w:cs="仿宋_GB2312"/>
          <w:color w:val="auto"/>
          <w:szCs w:val="21"/>
          <w:highlight w:val="none"/>
        </w:rPr>
        <w:t>投标人须知表</w:t>
      </w:r>
      <w:r>
        <w:rPr>
          <w:rFonts w:hint="eastAsia" w:ascii="仿宋_GB2312" w:hAnsi="仿宋_GB2312" w:eastAsia="仿宋_GB2312" w:cs="仿宋_GB2312"/>
          <w:color w:val="auto"/>
          <w:szCs w:val="21"/>
          <w:highlight w:val="none"/>
        </w:rPr>
        <w:fldChar w:fldCharType="end"/>
      </w:r>
      <w:r>
        <w:rPr>
          <w:rFonts w:hint="eastAsia" w:ascii="仿宋_GB2312" w:hAnsi="仿宋_GB2312" w:eastAsia="仿宋_GB2312" w:cs="仿宋_GB2312"/>
          <w:color w:val="auto"/>
          <w:szCs w:val="21"/>
          <w:highlight w:val="none"/>
        </w:rPr>
        <w:t>6.1款规定组织现场考察或开标前答疑会的，采购人按规定的时间、地点组织投标人现场考察或开标前答疑会，或者在领取招标文件期限截止后以书面形式通知所有获取招标文件的潜在投标人。</w:t>
      </w:r>
    </w:p>
    <w:p>
      <w:pPr>
        <w:adjustRightInd w:val="0"/>
        <w:snapToGrid w:val="0"/>
        <w:spacing w:line="360" w:lineRule="auto"/>
        <w:rPr>
          <w:rFonts w:ascii="仿宋_GB2312" w:hAnsi="仿宋_GB2312" w:eastAsia="仿宋_GB2312" w:cs="仿宋_GB2312"/>
          <w:b/>
          <w:bCs/>
          <w:color w:val="auto"/>
          <w:szCs w:val="21"/>
          <w:highlight w:val="none"/>
        </w:rPr>
      </w:pPr>
      <w:bookmarkStart w:id="42" w:name="_1.10_投标预备会"/>
      <w:bookmarkEnd w:id="42"/>
      <w:r>
        <w:rPr>
          <w:rFonts w:hint="eastAsia" w:ascii="仿宋_GB2312" w:hAnsi="仿宋_GB2312" w:eastAsia="仿宋_GB2312" w:cs="仿宋_GB2312"/>
          <w:color w:val="auto"/>
          <w:szCs w:val="21"/>
          <w:highlight w:val="none"/>
        </w:rPr>
        <w:t>6.2</w:t>
      </w:r>
      <w:r>
        <w:rPr>
          <w:rFonts w:hint="eastAsia" w:ascii="仿宋_GB2312" w:hAnsi="仿宋_GB2312" w:eastAsia="仿宋_GB2312" w:cs="仿宋_GB2312"/>
          <w:color w:val="auto"/>
          <w:kern w:val="0"/>
          <w:szCs w:val="21"/>
          <w:highlight w:val="none"/>
        </w:rPr>
        <w:t>由于未参加现场考察或标前答疑而导致对项目实际情况不了解，影响技术文件编制、</w:t>
      </w:r>
      <w:r>
        <w:rPr>
          <w:color w:val="auto"/>
          <w:highlight w:val="none"/>
        </w:rPr>
        <w:fldChar w:fldCharType="begin"/>
      </w:r>
      <w:r>
        <w:rPr>
          <w:color w:val="auto"/>
          <w:highlight w:val="none"/>
        </w:rP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rPr>
          <w:color w:val="auto"/>
          <w:highlight w:val="none"/>
        </w:rPr>
        <w:fldChar w:fldCharType="separate"/>
      </w:r>
      <w:r>
        <w:rPr>
          <w:rFonts w:hint="eastAsia" w:ascii="仿宋_GB2312" w:hAnsi="仿宋_GB2312" w:eastAsia="仿宋_GB2312" w:cs="仿宋_GB2312"/>
          <w:color w:val="auto"/>
          <w:kern w:val="0"/>
          <w:szCs w:val="21"/>
          <w:highlight w:val="none"/>
        </w:rPr>
        <w:t>投标报价</w:t>
      </w:r>
      <w:r>
        <w:rPr>
          <w:rFonts w:hint="eastAsia" w:ascii="仿宋_GB2312" w:hAnsi="仿宋_GB2312" w:eastAsia="仿宋_GB2312" w:cs="仿宋_GB2312"/>
          <w:color w:val="auto"/>
          <w:kern w:val="0"/>
          <w:szCs w:val="21"/>
          <w:highlight w:val="none"/>
        </w:rPr>
        <w:fldChar w:fldCharType="end"/>
      </w:r>
      <w:r>
        <w:rPr>
          <w:rFonts w:hint="eastAsia" w:ascii="仿宋_GB2312" w:hAnsi="仿宋_GB2312" w:eastAsia="仿宋_GB2312" w:cs="仿宋_GB2312"/>
          <w:color w:val="auto"/>
          <w:kern w:val="0"/>
          <w:szCs w:val="21"/>
          <w:highlight w:val="none"/>
        </w:rPr>
        <w:t>准确性、综合因素响应不全面等问题的，由投标人自行承担相应后果。</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6.3现场考察及参加标前答疑会所发生的费用及一切责任由投标人自行承担。</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7.适用法律</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pPr>
        <w:pStyle w:val="5"/>
        <w:rPr>
          <w:rFonts w:ascii="仿宋_GB2312" w:hAnsi="仿宋_GB2312" w:eastAsia="仿宋_GB2312" w:cs="仿宋_GB2312"/>
          <w:color w:val="auto"/>
          <w:sz w:val="32"/>
          <w:szCs w:val="28"/>
          <w:highlight w:val="none"/>
        </w:rPr>
      </w:pPr>
      <w:bookmarkStart w:id="43" w:name="_Toc10106_WPSOffice_Level2"/>
      <w:r>
        <w:rPr>
          <w:rFonts w:hint="eastAsia" w:ascii="仿宋_GB2312" w:hAnsi="仿宋_GB2312" w:eastAsia="仿宋_GB2312" w:cs="仿宋_GB2312"/>
          <w:color w:val="auto"/>
          <w:sz w:val="32"/>
          <w:szCs w:val="28"/>
          <w:highlight w:val="none"/>
        </w:rPr>
        <w:t>三 招标文件</w:t>
      </w:r>
      <w:bookmarkEnd w:id="43"/>
    </w:p>
    <w:p>
      <w:pPr>
        <w:tabs>
          <w:tab w:val="left" w:pos="312"/>
        </w:tabs>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8.招标文件构成</w:t>
      </w:r>
    </w:p>
    <w:p>
      <w:pPr>
        <w:adjustRightInd w:val="0"/>
        <w:snapToGrid w:val="0"/>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招标</w:t>
      </w:r>
      <w:r>
        <w:rPr>
          <w:rFonts w:hint="eastAsia" w:ascii="仿宋_GB2312" w:hAnsi="仿宋_GB2312" w:eastAsia="仿宋_GB2312" w:cs="仿宋_GB2312"/>
          <w:color w:val="auto"/>
          <w:highlight w:val="none"/>
        </w:rPr>
        <w:t>文件内容如下:</w:t>
      </w:r>
    </w:p>
    <w:p>
      <w:pPr>
        <w:adjustRightInd w:val="0"/>
        <w:snapToGrid w:val="0"/>
        <w:spacing w:line="360" w:lineRule="auto"/>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Cs w:val="21"/>
          <w:highlight w:val="none"/>
        </w:rPr>
        <w:t>招标</w:t>
      </w:r>
      <w:r>
        <w:rPr>
          <w:rFonts w:hint="eastAsia" w:ascii="仿宋_GB2312" w:hAnsi="仿宋_GB2312" w:eastAsia="仿宋_GB2312" w:cs="仿宋_GB2312"/>
          <w:color w:val="auto"/>
          <w:highlight w:val="none"/>
        </w:rPr>
        <w:t>公告</w:t>
      </w:r>
    </w:p>
    <w:p>
      <w:pPr>
        <w:numPr>
          <w:ilvl w:val="0"/>
          <w:numId w:val="4"/>
        </w:numPr>
        <w:adjustRightInd w:val="0"/>
        <w:snapToGrid w:val="0"/>
        <w:spacing w:line="360" w:lineRule="auto"/>
        <w:ind w:firstLine="420" w:firstLineChars="200"/>
        <w:rPr>
          <w:rFonts w:ascii="仿宋_GB2312" w:hAnsi="仿宋_GB2312" w:eastAsia="仿宋_GB2312" w:cs="仿宋_GB2312"/>
          <w:color w:val="auto"/>
          <w:highlight w:val="none"/>
        </w:rPr>
      </w:pPr>
      <w:bookmarkStart w:id="44" w:name="_Toc4961_WPSOffice_Level2"/>
      <w:bookmarkStart w:id="45" w:name="_Toc188_WPSOffice_Level2"/>
      <w:bookmarkStart w:id="46" w:name="_Toc25935_WPSOffice_Level2"/>
      <w:bookmarkStart w:id="47" w:name="_Toc24604_WPSOffice_Level2"/>
      <w:r>
        <w:rPr>
          <w:rFonts w:hint="eastAsia" w:ascii="仿宋_GB2312" w:hAnsi="仿宋_GB2312" w:eastAsia="仿宋_GB2312" w:cs="仿宋_GB2312"/>
          <w:color w:val="auto"/>
          <w:highlight w:val="none"/>
        </w:rPr>
        <w:t>投标人须知</w:t>
      </w:r>
      <w:bookmarkEnd w:id="44"/>
      <w:bookmarkEnd w:id="45"/>
      <w:bookmarkEnd w:id="46"/>
      <w:bookmarkEnd w:id="47"/>
    </w:p>
    <w:p>
      <w:pPr>
        <w:adjustRightInd w:val="0"/>
        <w:snapToGrid w:val="0"/>
        <w:spacing w:line="360" w:lineRule="auto"/>
        <w:ind w:firstLine="420" w:firstLineChars="200"/>
        <w:rPr>
          <w:rFonts w:ascii="仿宋_GB2312" w:hAnsi="仿宋_GB2312" w:eastAsia="仿宋_GB2312" w:cs="仿宋_GB2312"/>
          <w:color w:val="auto"/>
          <w:highlight w:val="none"/>
        </w:rPr>
      </w:pPr>
      <w:bookmarkStart w:id="48" w:name="_Toc32235_WPSOffice_Level2"/>
      <w:bookmarkStart w:id="49" w:name="_Toc13276_WPSOffice_Level2"/>
      <w:bookmarkStart w:id="50" w:name="_Toc2443_WPSOffice_Level2"/>
      <w:bookmarkStart w:id="51" w:name="_Toc31424_WPSOffice_Level2"/>
      <w:r>
        <w:rPr>
          <w:rFonts w:hint="eastAsia" w:ascii="仿宋_GB2312" w:hAnsi="仿宋_GB2312" w:eastAsia="仿宋_GB2312" w:cs="仿宋_GB2312"/>
          <w:color w:val="auto"/>
          <w:highlight w:val="none"/>
        </w:rPr>
        <w:t>第二章 投标文件内容及格式</w:t>
      </w:r>
      <w:bookmarkEnd w:id="48"/>
      <w:bookmarkEnd w:id="49"/>
      <w:bookmarkEnd w:id="50"/>
      <w:bookmarkEnd w:id="51"/>
    </w:p>
    <w:p>
      <w:pPr>
        <w:adjustRightInd w:val="0"/>
        <w:snapToGrid w:val="0"/>
        <w:spacing w:line="360" w:lineRule="auto"/>
        <w:ind w:firstLine="420" w:firstLineChars="200"/>
        <w:rPr>
          <w:rFonts w:ascii="仿宋_GB2312" w:hAnsi="仿宋_GB2312" w:eastAsia="仿宋_GB2312" w:cs="仿宋_GB2312"/>
          <w:color w:val="auto"/>
          <w:highlight w:val="none"/>
        </w:rPr>
      </w:pPr>
      <w:bookmarkStart w:id="52" w:name="_Toc16269_WPSOffice_Level2"/>
      <w:bookmarkStart w:id="53" w:name="_Toc4416_WPSOffice_Level2"/>
      <w:bookmarkStart w:id="54" w:name="_Toc7005_WPSOffice_Level2"/>
      <w:bookmarkStart w:id="55" w:name="_Toc24836_WPSOffice_Level2"/>
      <w:r>
        <w:rPr>
          <w:rFonts w:hint="eastAsia" w:ascii="仿宋_GB2312" w:hAnsi="仿宋_GB2312" w:eastAsia="仿宋_GB2312" w:cs="仿宋_GB2312"/>
          <w:color w:val="auto"/>
          <w:highlight w:val="none"/>
        </w:rPr>
        <w:t>第三章 货物需求</w:t>
      </w:r>
      <w:bookmarkEnd w:id="52"/>
      <w:bookmarkEnd w:id="53"/>
      <w:bookmarkEnd w:id="54"/>
      <w:bookmarkEnd w:id="55"/>
    </w:p>
    <w:p>
      <w:pPr>
        <w:adjustRightInd w:val="0"/>
        <w:snapToGrid w:val="0"/>
        <w:spacing w:line="360" w:lineRule="auto"/>
        <w:ind w:firstLine="420" w:firstLineChars="200"/>
        <w:rPr>
          <w:rFonts w:ascii="仿宋_GB2312" w:hAnsi="仿宋_GB2312" w:eastAsia="仿宋_GB2312" w:cs="仿宋_GB2312"/>
          <w:color w:val="auto"/>
          <w:highlight w:val="none"/>
        </w:rPr>
      </w:pPr>
      <w:bookmarkStart w:id="56" w:name="_Toc25382_WPSOffice_Level2"/>
      <w:bookmarkStart w:id="57" w:name="_Toc23459_WPSOffice_Level2"/>
      <w:bookmarkStart w:id="58" w:name="_Toc16294_WPSOffice_Level2"/>
      <w:bookmarkStart w:id="59" w:name="_Toc16119_WPSOffice_Level2"/>
      <w:r>
        <w:rPr>
          <w:rFonts w:hint="eastAsia" w:ascii="仿宋_GB2312" w:hAnsi="仿宋_GB2312" w:eastAsia="仿宋_GB2312" w:cs="仿宋_GB2312"/>
          <w:color w:val="auto"/>
          <w:highlight w:val="none"/>
        </w:rPr>
        <w:t>第四章 评标方法</w:t>
      </w:r>
      <w:bookmarkEnd w:id="56"/>
      <w:bookmarkEnd w:id="57"/>
      <w:bookmarkEnd w:id="58"/>
      <w:bookmarkEnd w:id="59"/>
    </w:p>
    <w:p>
      <w:pPr>
        <w:adjustRightInd w:val="0"/>
        <w:snapToGrid w:val="0"/>
        <w:spacing w:line="360" w:lineRule="auto"/>
        <w:ind w:firstLine="420" w:firstLineChars="200"/>
        <w:rPr>
          <w:rFonts w:ascii="仿宋_GB2312" w:hAnsi="仿宋_GB2312" w:eastAsia="仿宋_GB2312" w:cs="仿宋_GB2312"/>
          <w:color w:val="auto"/>
          <w:highlight w:val="none"/>
        </w:rPr>
      </w:pPr>
      <w:bookmarkStart w:id="60" w:name="_Toc17794_WPSOffice_Level2"/>
      <w:bookmarkStart w:id="61" w:name="_Toc16368_WPSOffice_Level2"/>
      <w:bookmarkStart w:id="62" w:name="_Toc28106_WPSOffice_Level2"/>
      <w:bookmarkStart w:id="63" w:name="_Toc9629_WPSOffice_Level2"/>
      <w:r>
        <w:rPr>
          <w:rFonts w:hint="eastAsia" w:ascii="仿宋_GB2312" w:hAnsi="仿宋_GB2312" w:eastAsia="仿宋_GB2312" w:cs="仿宋_GB2312"/>
          <w:color w:val="auto"/>
          <w:highlight w:val="none"/>
        </w:rPr>
        <w:t>第五章 政府采购合同</w:t>
      </w:r>
      <w:bookmarkEnd w:id="60"/>
      <w:bookmarkEnd w:id="61"/>
      <w:bookmarkEnd w:id="62"/>
      <w:bookmarkEnd w:id="63"/>
      <w:r>
        <w:rPr>
          <w:rFonts w:hint="eastAsia" w:ascii="仿宋_GB2312" w:hAnsi="仿宋_GB2312" w:eastAsia="仿宋_GB2312" w:cs="仿宋_GB2312"/>
          <w:color w:val="auto"/>
          <w:highlight w:val="none"/>
        </w:rPr>
        <w:t>条款及格式</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★8.2投标人应认真阅读招标文件所有的事项、格式、条款等。如投标人没有按照招标文件要求提交资料，或者投标文件没有对招标文件做出实质性响应，可能导致其投标被认定为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9.招标文件的澄清与修改</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9.2澄清或者修改的内容为招标文件的组成部分，对所有招标文件的收受人具有约束力。投标人在收到上述通知后，应及时向采购代理机构回函确认。</w:t>
      </w:r>
    </w:p>
    <w:p>
      <w:pPr>
        <w:pStyle w:val="5"/>
        <w:rPr>
          <w:rFonts w:ascii="仿宋_GB2312" w:hAnsi="仿宋_GB2312" w:eastAsia="仿宋_GB2312" w:cs="仿宋_GB2312"/>
          <w:color w:val="auto"/>
          <w:sz w:val="32"/>
          <w:szCs w:val="32"/>
          <w:highlight w:val="none"/>
        </w:rPr>
      </w:pPr>
      <w:bookmarkStart w:id="64" w:name="_Toc7415_WPSOffice_Level2"/>
      <w:r>
        <w:rPr>
          <w:rFonts w:hint="eastAsia" w:ascii="仿宋_GB2312" w:hAnsi="仿宋_GB2312" w:eastAsia="仿宋_GB2312" w:cs="仿宋_GB2312"/>
          <w:color w:val="auto"/>
          <w:sz w:val="32"/>
          <w:szCs w:val="32"/>
          <w:highlight w:val="none"/>
        </w:rPr>
        <w:t>四 投标文件的编制</w:t>
      </w:r>
      <w:bookmarkEnd w:id="64"/>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10.投标范围</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10.1项目有分包的，投标人可对招标文件其中某一个分包或几个分包进行投标。</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★10.2投标人应当对所投分包在招标文件中“货物需求”所列的所有货物内容进行投标，如仅响应分包中某一部分内容，其该包投标将被认定为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pStyle w:val="8"/>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10.3如一个分包内包含多种产品的，采购人或采购代理机构将在投标人须知表10.3款中载明核心产品（非单一产品采购时，只能设一个核心产品），多家投标人提供的核心产品品牌相同的，按照第四章“评标办法”第4款“同一品牌产品”规定处理。</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10.4无论招标文件第三章货物需求中是否要求，投标人所投货物均应符合国家强制性标准。</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11.投标文件构成</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★11.1投标人应完整地按招标文件提供的投标文件格式及要求编写投标文件。投标文件应包括资格证明文件、符合性证明文件、其它材料三部分。具体见第二章 投标文件内容及格式。</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★11.2投标人应按招标文件提供的格式编写投标文件。招标文件提供标准格式的按标准格式填列，未提供标准格式的可自行拟定。</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11.3 样品或演示要求详见投标人须知表11.3款。</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12.投标报价</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12.1所有投标均按投标人须知表12.1款中要求货币进行报价。投标人的投标报价应遵守《中华人民共和国价格法》。同时，根据《中华人民共和国政府采购法》第三条的规定，为保证公平竞争，如有货物主体部分的赠与行为，其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12.2投标价格（单价及总价）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12.3投标人应按招标文件要求在相关表格中标明投标货物及伴随服务的单价和总价，并由法定代表人（非法人组织的负责人）或其委托代理人签署。</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12.4投标人所报的各分项投标单价在合同履行过程中是固定不变的，不得以任何理由予以变更。任何包含价格调整要求的投标，其投标将被认定为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color w:val="auto"/>
          <w:szCs w:val="21"/>
          <w:highlight w:val="none"/>
        </w:rPr>
        <w:t>投标无效。</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12.5每种货物只能有一个投标报价。采购人不接受具有附加条件的报价。</w:t>
      </w:r>
    </w:p>
    <w:p>
      <w:pPr>
        <w:adjustRightInd w:val="0"/>
        <w:snapToGrid w:val="0"/>
        <w:spacing w:line="360" w:lineRule="auto"/>
        <w:rPr>
          <w:rFonts w:ascii="仿宋_GB2312" w:hAnsi="仿宋_GB2312" w:eastAsia="仿宋_GB2312" w:cs="仿宋_GB2312"/>
          <w:color w:val="auto"/>
          <w:szCs w:val="21"/>
          <w:highlight w:val="none"/>
        </w:rPr>
      </w:pPr>
      <w:bookmarkStart w:id="65" w:name="_Toc31973_WPSOffice_Level2"/>
      <w:bookmarkStart w:id="66" w:name="_Toc22507_WPSOffice_Level2"/>
      <w:r>
        <w:rPr>
          <w:rFonts w:hint="eastAsia" w:ascii="仿宋_GB2312" w:hAnsi="仿宋_GB2312" w:eastAsia="仿宋_GB2312" w:cs="仿宋_GB2312"/>
          <w:color w:val="auto"/>
          <w:szCs w:val="21"/>
          <w:highlight w:val="none"/>
        </w:rPr>
        <w:t>12.6除非招标文件另有规定，报价原则上精确到小数点后两位。</w:t>
      </w:r>
      <w:bookmarkEnd w:id="65"/>
      <w:bookmarkEnd w:id="66"/>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★13.投标保证金</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13.1投标人应提交投标人须知表13.1款中规定的投标保证金，并作为其投标的一部分。</w:t>
      </w:r>
    </w:p>
    <w:p>
      <w:pPr>
        <w:adjustRightInd w:val="0"/>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13.2投标保证金缴纳人、招标文件领取人、投标登记人和投标人必须为同一组织机构或联合体内不同成员单位，否则将视同未按招标文件规定交纳投标保证金。</w:t>
      </w:r>
    </w:p>
    <w:p>
      <w:pPr>
        <w:adjustRightInd w:val="0"/>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13.3投标人存在下列情形的，投标保证金不予退还：</w:t>
      </w:r>
    </w:p>
    <w:p>
      <w:pPr>
        <w:adjustRightInd w:val="0"/>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（1）在投标有效期内，投标人撤销投标的；</w:t>
      </w:r>
    </w:p>
    <w:p>
      <w:pPr>
        <w:adjustRightInd w:val="0"/>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（2）中标后不按本须知第34款的规定与采购人签订合同的；</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（3）中标后不按本须知第35款的规定提交履约保证金的；</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（4）中标后不按本须知第36款的规定缴纳采购代理服务费的；</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（5）存在其他违法违规行为的。</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13.4联合体投标的，可以由联合体中的一方或者共同提交投标保证金。以一方名义提交投标保证金的，对联合体各方均具有约束力。</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13.5投标保证金的退还</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13.5.1中标人应在与采购人签订合同之日起5个工作日内，及时联系保证金收受机构办理投标保证金退还手续。</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13.5.2未中标投标人的投标保证金将在中标通知书发出之日暨中标结果公告公布之日起5个工作日内无息退还。投标人应及时联系保证金收受机构办理退还投标保证金手续。</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13.5.3投标人在投标截止时间前撤回已提交的投标文件的，投标人应自采购人或者采购代理机构收到投标人书面撤回通知之日起５个工作日内，及时联系保证金收受机构办理投标保证金退还手续。</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13.5.4 政府采购投标担保函不予退回。</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13.6 因投标人自身原因导致无法及时退还的，采购人或采购代理机构将不承担相应责任。</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14.证明投标标的的合格性和符合招标文件规定的技术文件</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14.1投标人应提交证明文件，证明其投标内容符合招标文件规定。该证明文件是投标文件的一部分。</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14.2上款所述的证明文件，可以是文字资料、图纸和数据，它包括：</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（1）货物主要技术指标和性能的详细说明；</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（2）货物从采购人开始使用至招标文件规定的保质期内正常、连续地使用所必须的备件和专用工具清单，包括备件和专用工具的货源及现行价格;</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（3）对照招标文件技术规格，逐条说明所提供货物及伴随的工程和服务已对招标文件的技术规格做出了实质性的响应，或申明与技术规格条文的偏差和例外。</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15.投标有效期</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15.1投标应在投标人须知表15.1款中规定的投标有效期内保持有效。投标有效期不满足要求的投标，其投标将被认定为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16.投标文件的签署及规定</w:t>
      </w:r>
    </w:p>
    <w:p>
      <w:pPr>
        <w:adjustRightInd w:val="0"/>
        <w:snapToGrid w:val="0"/>
        <w:spacing w:line="360" w:lineRule="auto"/>
        <w:rPr>
          <w:rFonts w:ascii="仿宋_GB2312" w:hAnsi="仿宋_GB2312" w:eastAsia="仿宋_GB2312" w:cs="仿宋_GB2312"/>
          <w:color w:val="auto"/>
          <w:szCs w:val="21"/>
          <w:highlight w:val="none"/>
        </w:rPr>
      </w:pPr>
      <w:bookmarkStart w:id="67" w:name="_Toc27725_WPSOffice_Level2"/>
      <w:r>
        <w:rPr>
          <w:rFonts w:hint="eastAsia" w:ascii="仿宋_GB2312" w:hAnsi="仿宋_GB2312" w:eastAsia="仿宋_GB2312" w:cs="仿宋_GB2312"/>
          <w:color w:val="auto"/>
          <w:szCs w:val="21"/>
          <w:highlight w:val="none"/>
        </w:rPr>
        <w:t>16.1供应商应按投标人须知表16.1款中规定的文件份数，准备和递交投标文件（包括电子文件及备份文件）。</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16.2投标文件应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w:t>
      </w:r>
    </w:p>
    <w:p>
      <w:pPr>
        <w:pStyle w:val="5"/>
        <w:rPr>
          <w:rFonts w:ascii="仿宋_GB2312" w:hAnsi="仿宋_GB2312" w:eastAsia="仿宋_GB2312" w:cs="仿宋_GB2312"/>
          <w:color w:val="auto"/>
          <w:sz w:val="32"/>
          <w:szCs w:val="28"/>
          <w:highlight w:val="none"/>
        </w:rPr>
      </w:pPr>
      <w:r>
        <w:rPr>
          <w:rFonts w:hint="eastAsia" w:ascii="仿宋_GB2312" w:hAnsi="仿宋_GB2312" w:eastAsia="仿宋_GB2312" w:cs="仿宋_GB2312"/>
          <w:color w:val="auto"/>
          <w:sz w:val="32"/>
          <w:szCs w:val="28"/>
          <w:highlight w:val="none"/>
        </w:rPr>
        <w:t>五 投标文件的递交</w:t>
      </w:r>
      <w:bookmarkEnd w:id="67"/>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17.投标文件的密封和标记</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17.1现场密封递交与上传电子文件内容及格式相一致的可加密备份文件（U盘），包装封皮上应标记：</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（1）注明项目名称、项目编号、包号、投标人名称。</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（2）加盖投标人单位公章。</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17.2投标人未按要求对备份文件进行密封和标记的，不影响备份文件的效力，但需承担可能由此产生的任何不利影响。</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18.投标截止</w:t>
      </w:r>
    </w:p>
    <w:p>
      <w:pPr>
        <w:adjustRightInd w:val="0"/>
        <w:snapToGrid w:val="0"/>
        <w:spacing w:line="360" w:lineRule="auto"/>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color w:val="auto"/>
          <w:szCs w:val="21"/>
          <w:highlight w:val="none"/>
        </w:rPr>
        <w:t>18.1投标人应在投标人须知表18.1中规定的截止时间前递交投标文件（电子文件及备份文件）。</w:t>
      </w:r>
      <w:r>
        <w:rPr>
          <w:rFonts w:hint="eastAsia" w:ascii="仿宋_GB2312" w:hAnsi="仿宋_GB2312" w:eastAsia="仿宋_GB2312" w:cs="仿宋_GB2312"/>
          <w:b/>
          <w:bCs/>
          <w:color w:val="auto"/>
          <w:kern w:val="0"/>
          <w:szCs w:val="21"/>
          <w:highlight w:val="none"/>
        </w:rPr>
        <w:t>疫情期间，备份文件可采用现场递交或邮寄的形式递交至辽宁乔泰全过程项目管理有限公司，收件地址：沈阳市沈河区西顺城内街61号，收件人为采购公告中代理机构项目联系人。采用邮寄方式递交备份文件的供应商须自行考虑邮寄途中丢失、密封破损、到达时间等问题。提交投标文件截止时间之后到达的备份文件不予接收（到达时间以代理公司接收时间为准）。</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18.2采购人和采购代理机构有权按本须知的规定，延迟投标截止时间。在此情况下，采购人、采购代理机构和投标人受投标截止时间制约的所有权利和义务均应延长至新的截止时间。</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19.投标文件的接收、修改与撤回</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19.1在投标截止时间后送达的投标文件，采购人和采购代理机构将</w:t>
      </w:r>
      <w:r>
        <w:rPr>
          <w:rFonts w:hint="eastAsia" w:ascii="仿宋_GB2312" w:hAnsi="仿宋_GB2312" w:eastAsia="仿宋_GB2312" w:cs="仿宋_GB2312"/>
          <w:b/>
          <w:bCs/>
          <w:color w:val="auto"/>
          <w:szCs w:val="21"/>
          <w:highlight w:val="none"/>
        </w:rPr>
        <w:t>拒绝接收</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19.2采购人或者采购代理机构收到投标文件后，应当如实记载投标文件的送达时间和密封情况，并向投标人出具以下签收回执。</w:t>
      </w:r>
    </w:p>
    <w:p>
      <w:pPr>
        <w:adjustRightInd w:val="0"/>
        <w:snapToGrid w:val="0"/>
        <w:spacing w:line="360" w:lineRule="auto"/>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接收投标文件回执单</w:t>
      </w:r>
    </w:p>
    <w:tbl>
      <w:tblPr>
        <w:tblStyle w:val="18"/>
        <w:tblW w:w="7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项目编号</w:t>
            </w:r>
          </w:p>
        </w:tc>
        <w:tc>
          <w:tcPr>
            <w:tcW w:w="5415" w:type="dxa"/>
            <w:vAlign w:val="center"/>
          </w:tcPr>
          <w:p>
            <w:pPr>
              <w:adjustRightInd w:val="0"/>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项目名称</w:t>
            </w:r>
          </w:p>
        </w:tc>
        <w:tc>
          <w:tcPr>
            <w:tcW w:w="5415" w:type="dxa"/>
            <w:vAlign w:val="center"/>
          </w:tcPr>
          <w:p>
            <w:pPr>
              <w:adjustRightInd w:val="0"/>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投标人名称</w:t>
            </w:r>
          </w:p>
        </w:tc>
        <w:tc>
          <w:tcPr>
            <w:tcW w:w="5415" w:type="dxa"/>
            <w:vAlign w:val="center"/>
          </w:tcPr>
          <w:p>
            <w:pPr>
              <w:adjustRightInd w:val="0"/>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递交时间</w:t>
            </w:r>
          </w:p>
        </w:tc>
        <w:tc>
          <w:tcPr>
            <w:tcW w:w="5415" w:type="dxa"/>
            <w:vAlign w:val="center"/>
          </w:tcPr>
          <w:p>
            <w:pPr>
              <w:adjustRightInd w:val="0"/>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50" w:type="dxa"/>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接收单位</w:t>
            </w:r>
          </w:p>
        </w:tc>
        <w:tc>
          <w:tcPr>
            <w:tcW w:w="5415" w:type="dxa"/>
            <w:vAlign w:val="center"/>
          </w:tcPr>
          <w:p>
            <w:pPr>
              <w:adjustRightInd w:val="0"/>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50" w:type="dxa"/>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接收人签字</w:t>
            </w:r>
          </w:p>
        </w:tc>
        <w:tc>
          <w:tcPr>
            <w:tcW w:w="5415" w:type="dxa"/>
            <w:vAlign w:val="center"/>
          </w:tcPr>
          <w:p>
            <w:pPr>
              <w:adjustRightInd w:val="0"/>
              <w:snapToGrid w:val="0"/>
              <w:jc w:val="center"/>
              <w:rPr>
                <w:rFonts w:ascii="仿宋_GB2312" w:hAnsi="仿宋_GB2312" w:eastAsia="仿宋_GB2312" w:cs="仿宋_GB2312"/>
                <w:color w:val="auto"/>
                <w:szCs w:val="21"/>
                <w:highlight w:val="none"/>
              </w:rPr>
            </w:pPr>
          </w:p>
        </w:tc>
      </w:tr>
    </w:tbl>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19.3递交投标文件以后且在递交投标文件截止时间前，如果投标人要进行修改或撤回投标，</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电子文件应自行在辽宁政府采购网电子评审系统修改或撤回；备份文件须提出书面申请并在提交投标文件截止时间前送达开标地点。投标人对投标文件的修改或撤回通知应按本须知规定编制、密封、标记。采购人和采购代理机构将予以接收，并视为投标文件的组成部分。否则，修改后的投标文件或撤回行为无效。</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19.4在投标截止时间之后，投标人不得对其投标文件做任何修改。</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19.5采购人和采购代理机构对所接收并当众宣读投标内容的投标文件概不退回。</w:t>
      </w:r>
    </w:p>
    <w:p>
      <w:pPr>
        <w:pStyle w:val="5"/>
        <w:rPr>
          <w:rFonts w:ascii="仿宋_GB2312" w:hAnsi="仿宋_GB2312" w:eastAsia="仿宋_GB2312" w:cs="仿宋_GB2312"/>
          <w:color w:val="auto"/>
          <w:sz w:val="32"/>
          <w:szCs w:val="28"/>
          <w:highlight w:val="none"/>
        </w:rPr>
      </w:pPr>
      <w:bookmarkStart w:id="68" w:name="_Toc988_WPSOffice_Level2"/>
      <w:r>
        <w:rPr>
          <w:rFonts w:hint="eastAsia" w:ascii="仿宋_GB2312" w:hAnsi="仿宋_GB2312" w:eastAsia="仿宋_GB2312" w:cs="仿宋_GB2312"/>
          <w:color w:val="auto"/>
          <w:sz w:val="32"/>
          <w:szCs w:val="28"/>
          <w:highlight w:val="none"/>
        </w:rPr>
        <w:t>六 开标及评标</w:t>
      </w:r>
      <w:bookmarkEnd w:id="68"/>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20.开标</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20.1采购人和采购代理机构将按投标人须知表20.1款中规定的开标时间和地点组织公开开标并邀请所有投标人代表参加。</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投标人不足3家的，不得开标。评标委员会成员不得参加开标活动。</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20.2开标时，由投标人登陆辽宁政府采购网电子评审系统自行解密电子文件，由采购人或采购代理机构当众宣读投标人名称、投标价格及招标文件规定的内容。对于投标人在投标截止时间前递交的投标声明，在开标时当众宣读，评标时有效。</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未宣读投标价格、价格折扣等实质内容，评标时不予承认。</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20.3采购人或采购代理机构将对开标过程进行记录，由参加开标的各投标人代表和相关工作人员签字确认，并存档备查。投标人未参加开标或未签字确认的，视同认可开标结果。</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20.4投标人代表对开标过程和开标记录有疑义，以及认为采购人、采购代理机构相关工作人员有需要回避的情形的，应当场提出询问或者回避申请。</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21.组建评标委员会</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按照《中华人民共和国政府采购法》、《中华人民共和国政府采购法实施条例》有关规定依法组建评标委员会，负责本项目评标工作。本项目评标委员会组成详见投标人须知表21款。</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22.资格审查</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22.1采购人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；通过资格审查的投标人不足3家的，不得评标。</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22.2采购人或采购代理机构将在递交投标文件截止时间前一个工作日至资格审查结束前查询投标人的信用记录。投标人存在不良信用记录的，其投标将被认定为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22.2.1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以联合体形式参加投标的，联合体任何成员存在以上不良信用记录的，联合体投标将被认定为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22.2.2查询及记录方式：采购人或采购代理机构经办人将查询网页打印并存档备查。投标人不良信用记录以采购人或采购代理机构查询结果为准。</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在本招标文件规定的查询时间之后，网站信息发生的任何变更均不再作为评标依据。</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投标人自行提供的与网站信息不一致的其他证明材料亦不作为资格审查依据。</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23.符合性审查</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；通过符合性审查的投标人数量不足3家的，不得作进一步的比较和评价。</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24.投标文件的澄清</w:t>
      </w:r>
      <w:r>
        <w:rPr>
          <w:rFonts w:hint="eastAsia" w:ascii="仿宋" w:hAnsi="仿宋" w:cs="仿宋"/>
          <w:b/>
          <w:bCs/>
          <w:color w:val="auto"/>
          <w:highlight w:val="none"/>
        </w:rPr>
        <w:t>（疫情期间，</w:t>
      </w:r>
      <w:r>
        <w:rPr>
          <w:rFonts w:hint="eastAsia" w:ascii="仿宋_GB2312" w:hAnsi="仿宋_GB2312" w:eastAsia="仿宋_GB2312" w:cs="仿宋_GB2312"/>
          <w:b/>
          <w:bCs/>
          <w:color w:val="auto"/>
          <w:szCs w:val="21"/>
          <w:highlight w:val="none"/>
        </w:rPr>
        <w:t>投标人法定代表人（非法人组织负责人）或其授权委托人未到现场的，可通过电子邮件完成下列事宜</w:t>
      </w:r>
      <w:r>
        <w:rPr>
          <w:rFonts w:hint="eastAsia" w:ascii="仿宋" w:hAnsi="仿宋" w:cs="仿宋"/>
          <w:b/>
          <w:bCs/>
          <w:color w:val="auto"/>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24.2投标人的澄清、说明或补正将作为投标文件的一部分。</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24.3投标文件报价出现前后不一致的，按照下列规定修正：</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（1）投标文件中开标一览表内容与投标文件中相应内容不一致的，以开标一览表为准；</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（2）大写金额和小写金额不一致的，以大写金额为准；</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（3）单价金额小数点或者百分比有明显错位的，以开标一览表的总价为准，并修改单价；</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（4）总价金额与按单价汇总金额不一致的，以单价金额计算结果为准。</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同时出现两种以上不一致的，按照前款规定的顺序修正。修正后的报价经投标人确认后产生约束力，投标人不确认的，其投标将被认定为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24.4</w:t>
      </w:r>
      <w:r>
        <w:rPr>
          <w:rFonts w:hint="eastAsia" w:ascii="仿宋_GB2312" w:hAnsi="仿宋_GB2312" w:eastAsia="仿宋_GB2312" w:cs="仿宋_GB2312"/>
          <w:b/>
          <w:bCs/>
          <w:color w:val="auto"/>
          <w:szCs w:val="21"/>
          <w:highlight w:val="none"/>
        </w:rPr>
        <w:t>评标委员会认为</w:t>
      </w:r>
      <w:r>
        <w:rPr>
          <w:rFonts w:hint="eastAsia" w:ascii="仿宋_GB2312" w:hAnsi="仿宋_GB2312" w:eastAsia="仿宋_GB2312" w:cs="仿宋_GB2312"/>
          <w:color w:val="auto"/>
          <w:szCs w:val="21"/>
          <w:highlight w:val="none"/>
        </w:rPr>
        <w:t>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仿宋_GB2312" w:hAnsi="仿宋_GB2312" w:eastAsia="仿宋_GB2312" w:cs="仿宋_GB2312"/>
          <w:b/>
          <w:bCs/>
          <w:color w:val="auto"/>
          <w:szCs w:val="21"/>
          <w:highlight w:val="none"/>
        </w:rPr>
        <w:t>无效投标</w:t>
      </w:r>
      <w:r>
        <w:rPr>
          <w:rFonts w:hint="eastAsia" w:ascii="仿宋_GB2312" w:hAnsi="仿宋_GB2312" w:eastAsia="仿宋_GB2312" w:cs="仿宋_GB2312"/>
          <w:color w:val="auto"/>
          <w:szCs w:val="21"/>
          <w:highlight w:val="none"/>
        </w:rPr>
        <w:t>处理。提交证明材料的合理时间按第四章 评标方法规定执行。</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25样品及演示</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25.1投标人须知表11.3款中要求投标人提供样品的，按照投标人须知表25.1款中样品的评审方法以及评审标准进行评审。</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25.3演示的评审方法以及评审标准具体内容见投标人须知表25.1款。</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26.投标无效</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26.1在比较与评价之前，根据本须知的规定，评标委员会将审查每份投标文件是否实质上响应了招标文件的要求。</w:t>
      </w:r>
    </w:p>
    <w:p>
      <w:pPr>
        <w:adjustRightInd w:val="0"/>
        <w:snapToGrid w:val="0"/>
        <w:spacing w:line="360" w:lineRule="auto"/>
        <w:ind w:firstLine="420"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实质性要求是指招标文件中带有★号标识内容（包括本级及其下级编号中所有内容）等文字说明的要求。</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对招标文件的实质性要求进行响应是指与招标文件中带有★号标识内容的文字说明、条款、条件和规格等要求相符。</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如果投标文件没有对招标文件的实质性要求进行响应，将作为</w:t>
      </w:r>
      <w:r>
        <w:rPr>
          <w:rFonts w:hint="eastAsia" w:ascii="仿宋_GB2312" w:hAnsi="仿宋_GB2312" w:eastAsia="仿宋_GB2312" w:cs="仿宋_GB2312"/>
          <w:b/>
          <w:bCs/>
          <w:color w:val="auto"/>
          <w:szCs w:val="21"/>
          <w:highlight w:val="none"/>
        </w:rPr>
        <w:t>无效投标</w:t>
      </w:r>
      <w:r>
        <w:rPr>
          <w:rFonts w:hint="eastAsia" w:ascii="仿宋_GB2312" w:hAnsi="仿宋_GB2312" w:eastAsia="仿宋_GB2312" w:cs="仿宋_GB2312"/>
          <w:color w:val="auto"/>
          <w:szCs w:val="21"/>
          <w:highlight w:val="none"/>
        </w:rPr>
        <w:t>处理，投标人不得再对投标文件进行任何修正从而使其投标成为实质上响应的投标。</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评标委员会决定投标的响应性只根据招标文件要求、投标文件内容及财政主管部门指定媒体发布的相关信息。</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26.2如发现下列情况之一的，其投标将被认定为</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（1）未按招标文件的规定提交投标保证金的；</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（2）未按照招标文件规定要求签署、盖章的；</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（3）投标人的报价超过了招标文件中规定的预算金额或者最高限价的；</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（4）不具备招标文件中规定的资格要求的；</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（5）不符合法律、法规和招标文件中规定的其他实质性要求的。</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（6）与其他投标人串通投标，或者与采购人串通投标；</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（7）评标委员会认为投标人的报价明显低于其他通过符合性审查投标人的报价，有可能影响履约的，且投标人未按照规定证明其报价合理性的；</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（8）投标文件含有采购人不能接受的附加条件的；</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（9）属于法律、法规和招标文件规定的其他投标无效情形；</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27.比较与评价</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27.1经符合性审查合格的投标文件，评标委员会将根据招标文件确定的评标方法和标准，对其技术部分和商务部分作进一步的比较和评价。</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27.2评标严格按照招标文件的要求和条件进行。根据实际情况，在投标人须知表27.2款中规定采用下列一种评标方法，详细评标标准见第四章 评标方法。</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（1）最低评标价法，是指投标文件满足招标文件全部实质性要求，且投标报价最低的投标人为中标候选人的评标方法。</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（2）综合评分法，是指投标文件满足招标文件全部实质性要求，且按照评审因素的量化指标评审得分最高的投标人为中标候选人的评标方法。</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27.3根据《政府采购促进中小企业发展管理办法》（财库[2020]46号）、《财政部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残疾人福利性单位声明函》或省级以上监狱管理局、戒毒管理局（含新疆生产建设兵团）出具的属于监狱企业的证明文件的投标人，其投标报价扣除 6-10%后参与评审。具体详见第四章 评标方法。</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27.4 依据财政部、发展改革委、生态环境部等部门发布的品目清单和国家确定的认证机构出具的、处于有效期之内的节能产品、环境标志产品认证证书实施政府优先采购。具体优先采购办法详见第四章 评标方法。</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27.5根据财政部、辽宁省财政厅相关规定，对于列入《辽宁省创新产品和服务目录》内的产品、服务实施政府优先采购。具体优先采购办法详见第四章 评标方法。</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28.废标</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出现下列情形之一，将导致项目</w:t>
      </w:r>
      <w:r>
        <w:rPr>
          <w:rFonts w:hint="eastAsia" w:ascii="仿宋_GB2312" w:hAnsi="仿宋_GB2312" w:eastAsia="仿宋_GB2312" w:cs="仿宋_GB2312"/>
          <w:b/>
          <w:bCs/>
          <w:color w:val="auto"/>
          <w:szCs w:val="21"/>
          <w:highlight w:val="none"/>
        </w:rPr>
        <w:t>废标</w:t>
      </w:r>
      <w:r>
        <w:rPr>
          <w:rFonts w:hint="eastAsia" w:ascii="仿宋_GB2312" w:hAnsi="仿宋_GB2312" w:eastAsia="仿宋_GB2312" w:cs="仿宋_GB2312"/>
          <w:color w:val="auto"/>
          <w:szCs w:val="21"/>
          <w:highlight w:val="none"/>
        </w:rPr>
        <w:t>：</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（1）符合专业条件的投标人或者对招标文件做实质性响应的投标人不足3家；</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（2）出现影响采购公正的违法、违规行为的；</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（3）投标人的报价均超过了采购预算或最高限价，采购人不能支付的；</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（4）因重大变故，采购任务取消的。</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29.中标候选人的推荐原则及标准</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29.1除第32条规定外，评标委员会将根据评标标准，对实质上响应招标文件的投标人按下列方法进行排序，推荐中标候选人：</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（2）采用综合评分法的，评标结果按评审后得分由高到低顺序排序。得分相同的，按第四章评标办法规定执行。</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29.2评标委员会将根据评标标准，按投标人须知表29.2款中规定的数量推荐中标候选人。</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29.3因推荐中标候选人名单产生其他问题，由评标委员会集体研究处理。</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30.保密原则</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30.1评标将在严格保密的情况下进行。</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30.2有关人员应当遵守评标工作纪律，不得泄露评审文件、评标情况和评标过程中获悉的国家秘密、商业秘密。</w:t>
      </w:r>
    </w:p>
    <w:p>
      <w:pPr>
        <w:pStyle w:val="5"/>
        <w:rPr>
          <w:rFonts w:ascii="仿宋_GB2312" w:hAnsi="仿宋_GB2312" w:eastAsia="仿宋_GB2312" w:cs="仿宋_GB2312"/>
          <w:color w:val="auto"/>
          <w:sz w:val="32"/>
          <w:szCs w:val="28"/>
          <w:highlight w:val="none"/>
        </w:rPr>
      </w:pPr>
      <w:bookmarkStart w:id="69" w:name="_Toc4544_WPSOffice_Level2"/>
      <w:r>
        <w:rPr>
          <w:rFonts w:hint="eastAsia" w:ascii="仿宋_GB2312" w:hAnsi="仿宋_GB2312" w:eastAsia="仿宋_GB2312" w:cs="仿宋_GB2312"/>
          <w:color w:val="auto"/>
          <w:sz w:val="32"/>
          <w:szCs w:val="28"/>
          <w:highlight w:val="none"/>
        </w:rPr>
        <w:t>七 确定中标</w:t>
      </w:r>
      <w:bookmarkEnd w:id="69"/>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31.确定中标人</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由采购人或者采购人委托评标委员会按照投标人须知表31中规定的方式确定中标人。</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★32.采购任务取消</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因重大变故采购任务取消时，采购人有权拒绝任何供应商中标，且对受影响的投标人不承担任何责任。</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33.中标通知书</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33.1采购人或者采购代理机构应当自中标人确定之日起2个工作日内，在辽宁政府采购网及其地方分网媒体上公告中标结果。同时向中标人发出中标通知书。</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33.2中标通知书是合同的组成部分。</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34.签订合同</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34.1中标人应当自发出中标通知书之日起 30 日内，与采购人签订书面合同。</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34.3 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35.履约保证金</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35.1中标人应按照投标人须知表35.1款规定向采购人缴纳履约保证金。</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35.2如果中标人没有按照上述履约保证金的规定执行，将视为拒绝签订合同并放弃中标资格，中标人的投标保证金将不予退还。在此情况下，采购人可确定下一中标候选人为中标人，也可以重新开展采购活动。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bCs/>
          <w:color w:val="auto"/>
          <w:szCs w:val="21"/>
          <w:highlight w:val="none"/>
        </w:rPr>
        <w:t>36.采购代理服务费</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中标人须按照投标须知表36款规定，向采购代理机构支付采购代理服务费。</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37.廉洁自律规定</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37.1采购代理机构工作人员不得以不正当手段获取政府采购代理业务，不得与采购人、投标人恶意串通操纵政府采购活动。</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38.人员回避</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39.质疑与接收</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39.2质疑投标人应按照财政部门制定的《政府采购质疑函范本》格式（详见辽宁政府采购网）和《政府采购质疑和投诉办法》的要求，在法定质疑期内以纸质形式提出质疑，针对同一采购程序环节的质疑应一次性提出。</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超出法定质疑期的、重复提出的、分次提出的或内容、形式不符合《政府采购质疑和投诉办法》的，质疑投标人将依法承担不利后果。</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39.3采购代理机构质疑函接收部门、联系电话和通讯地址, 见投标人须知表39.3款。</w:t>
      </w:r>
    </w:p>
    <w:p>
      <w:pPr>
        <w:adjustRightInd w:val="0"/>
        <w:snapToGrid w:val="0"/>
        <w:spacing w:line="360" w:lineRule="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40.履约验收</w:t>
      </w:r>
    </w:p>
    <w:p>
      <w:pPr>
        <w:adjustRightInd w:val="0"/>
        <w:snapToGrid w:val="0"/>
        <w:spacing w:line="360" w:lineRule="auto"/>
        <w:ind w:firstLine="420"/>
        <w:rPr>
          <w:rFonts w:ascii="仿宋_GB2312" w:hAnsi="仿宋_GB2312" w:eastAsia="仿宋_GB2312" w:cs="仿宋_GB2312"/>
          <w:b/>
          <w:color w:val="auto"/>
          <w:highlight w:val="none"/>
        </w:rPr>
        <w:sectPr>
          <w:footerReference r:id="rId5" w:type="default"/>
          <w:pgSz w:w="11906" w:h="16838"/>
          <w:pgMar w:top="1440" w:right="1800" w:bottom="1440" w:left="1800" w:header="851" w:footer="992" w:gutter="0"/>
          <w:cols w:space="720" w:num="1"/>
          <w:docGrid w:type="linesAndChars" w:linePitch="312" w:charSpace="0"/>
        </w:sectPr>
      </w:pPr>
      <w:r>
        <w:rPr>
          <w:rFonts w:hint="eastAsia" w:ascii="仿宋_GB2312" w:hAnsi="仿宋_GB2312" w:eastAsia="仿宋_GB2312" w:cs="仿宋_GB2312"/>
          <w:color w:val="auto"/>
          <w:szCs w:val="21"/>
          <w:highlight w:val="none"/>
        </w:rPr>
        <w:t>本项目采购人及其委托的采购代理机构将严格按照政府采购相关法律法规以及《辽宁省政府采购履约验收管理办法》（辽财采〔2017〕603号）的要求进行验收。</w:t>
      </w:r>
    </w:p>
    <w:p>
      <w:pPr>
        <w:pStyle w:val="4"/>
        <w:adjustRightInd w:val="0"/>
        <w:snapToGrid w:val="0"/>
        <w:spacing w:before="0" w:after="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第二章 投标文件内容及格式</w:t>
      </w:r>
      <w:bookmarkEnd w:id="37"/>
      <w:bookmarkEnd w:id="38"/>
    </w:p>
    <w:p>
      <w:pPr>
        <w:spacing w:before="159" w:beforeLines="50"/>
        <w:rPr>
          <w:rFonts w:ascii="仿宋_GB2312" w:hAnsi="仿宋_GB2312" w:eastAsia="仿宋_GB2312" w:cs="仿宋_GB2312"/>
          <w:b/>
          <w:color w:val="auto"/>
          <w:sz w:val="24"/>
          <w:highlight w:val="none"/>
        </w:rPr>
      </w:pPr>
      <w:bookmarkStart w:id="70" w:name="投标文件内容及格式：Block"/>
      <w:bookmarkEnd w:id="70"/>
      <w:bookmarkStart w:id="71" w:name="sys_投标文件内容及格式：Block"/>
      <w:bookmarkEnd w:id="71"/>
      <w:bookmarkStart w:id="72" w:name="_Toc2481_WPSOffice_Level2"/>
      <w:bookmarkStart w:id="73" w:name="_Toc1538_WPSOffice_Level2"/>
      <w:r>
        <w:rPr>
          <w:rFonts w:hint="eastAsia" w:ascii="仿宋_GB2312" w:hAnsi="仿宋_GB2312" w:eastAsia="仿宋_GB2312" w:cs="仿宋_GB2312"/>
          <w:b/>
          <w:color w:val="auto"/>
          <w:sz w:val="24"/>
          <w:highlight w:val="none"/>
        </w:rPr>
        <w:t>一、</w:t>
      </w:r>
      <w:bookmarkEnd w:id="72"/>
      <w:bookmarkEnd w:id="73"/>
      <w:r>
        <w:rPr>
          <w:rFonts w:hint="eastAsia" w:ascii="仿宋_GB2312" w:hAnsi="仿宋_GB2312" w:eastAsia="仿宋_GB2312" w:cs="仿宋_GB2312"/>
          <w:b/>
          <w:color w:val="auto"/>
          <w:sz w:val="24"/>
          <w:highlight w:val="none"/>
        </w:rPr>
        <w:t>备份投标文件外封面、封口格式，投标文件的封皮及目录</w:t>
      </w:r>
    </w:p>
    <w:tbl>
      <w:tblPr>
        <w:tblStyle w:val="18"/>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7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677" w:type="dxa"/>
            <w:vAlign w:val="center"/>
          </w:tcPr>
          <w:p>
            <w:pPr>
              <w:widowControl/>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序号</w:t>
            </w:r>
          </w:p>
        </w:tc>
        <w:tc>
          <w:tcPr>
            <w:tcW w:w="6976" w:type="dxa"/>
            <w:vAlign w:val="center"/>
          </w:tcPr>
          <w:p>
            <w:pPr>
              <w:widowControl/>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内容</w:t>
            </w:r>
          </w:p>
        </w:tc>
        <w:tc>
          <w:tcPr>
            <w:tcW w:w="742" w:type="dxa"/>
            <w:vAlign w:val="center"/>
          </w:tcPr>
          <w:p>
            <w:pPr>
              <w:widowControl/>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7"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6976" w:type="dxa"/>
            <w:vAlign w:val="center"/>
          </w:tcPr>
          <w:p>
            <w:pPr>
              <w:widowControl/>
              <w:adjustRightInd w:val="0"/>
              <w:snapToGrid w:val="0"/>
              <w:jc w:val="left"/>
              <w:rPr>
                <w:rFonts w:ascii="仿宋_GB2312" w:hAnsi="仿宋_GB2312" w:eastAsia="仿宋_GB2312" w:cs="仿宋_GB2312"/>
                <w:b/>
                <w:color w:val="auto"/>
                <w:kern w:val="0"/>
                <w:szCs w:val="21"/>
                <w:highlight w:val="none"/>
              </w:rPr>
            </w:pPr>
            <w:r>
              <w:rPr>
                <w:rFonts w:hint="eastAsia" w:ascii="仿宋_GB2312" w:hAnsi="仿宋_GB2312" w:eastAsia="仿宋_GB2312" w:cs="仿宋_GB2312"/>
                <w:color w:val="auto"/>
                <w:kern w:val="0"/>
                <w:szCs w:val="21"/>
                <w:highlight w:val="none"/>
              </w:rPr>
              <w:t>投标文件的外封面及封口</w:t>
            </w:r>
          </w:p>
        </w:tc>
        <w:tc>
          <w:tcPr>
            <w:tcW w:w="742" w:type="dxa"/>
            <w:vAlign w:val="center"/>
          </w:tcPr>
          <w:p>
            <w:pPr>
              <w:widowControl/>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pPr>
              <w:widowControl/>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w:t>
            </w:r>
          </w:p>
        </w:tc>
        <w:tc>
          <w:tcPr>
            <w:tcW w:w="6976" w:type="dxa"/>
            <w:vAlign w:val="center"/>
          </w:tcPr>
          <w:p>
            <w:pPr>
              <w:widowControl/>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投标文件的封皮</w:t>
            </w:r>
          </w:p>
        </w:tc>
        <w:tc>
          <w:tcPr>
            <w:tcW w:w="742" w:type="dxa"/>
            <w:vAlign w:val="center"/>
          </w:tcPr>
          <w:p>
            <w:pPr>
              <w:widowControl/>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vAlign w:val="center"/>
          </w:tcPr>
          <w:p>
            <w:pPr>
              <w:widowControl/>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w:t>
            </w:r>
          </w:p>
        </w:tc>
        <w:tc>
          <w:tcPr>
            <w:tcW w:w="6976" w:type="dxa"/>
            <w:vAlign w:val="center"/>
          </w:tcPr>
          <w:p>
            <w:pPr>
              <w:widowControl/>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投标文件的目录</w:t>
            </w:r>
          </w:p>
        </w:tc>
        <w:tc>
          <w:tcPr>
            <w:tcW w:w="742" w:type="dxa"/>
            <w:vAlign w:val="center"/>
          </w:tcPr>
          <w:p>
            <w:pPr>
              <w:widowControl/>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w:t>
            </w:r>
          </w:p>
        </w:tc>
      </w:tr>
    </w:tbl>
    <w:p>
      <w:pPr>
        <w:snapToGrid w:val="0"/>
        <w:spacing w:before="159" w:beforeLines="50"/>
        <w:rPr>
          <w:rFonts w:ascii="仿宋_GB2312" w:hAnsi="仿宋_GB2312" w:eastAsia="仿宋_GB2312" w:cs="仿宋_GB2312"/>
          <w:b/>
          <w:color w:val="auto"/>
          <w:sz w:val="24"/>
          <w:highlight w:val="none"/>
        </w:rPr>
      </w:pPr>
      <w:bookmarkStart w:id="74" w:name="_Toc1266_WPSOffice_Level2"/>
      <w:bookmarkStart w:id="75" w:name="_Toc31052_WPSOffice_Level2"/>
      <w:r>
        <w:rPr>
          <w:rFonts w:hint="eastAsia" w:ascii="仿宋_GB2312" w:hAnsi="仿宋_GB2312" w:eastAsia="仿宋_GB2312" w:cs="仿宋_GB2312"/>
          <w:b/>
          <w:color w:val="auto"/>
          <w:sz w:val="24"/>
          <w:highlight w:val="none"/>
        </w:rPr>
        <w:t>二、资格证明材料</w:t>
      </w:r>
      <w:bookmarkEnd w:id="74"/>
      <w:bookmarkEnd w:id="75"/>
      <w:r>
        <w:rPr>
          <w:rFonts w:hint="eastAsia" w:ascii="仿宋_GB2312" w:hAnsi="仿宋_GB2312" w:eastAsia="仿宋_GB2312" w:cs="仿宋_GB2312"/>
          <w:b/>
          <w:color w:val="auto"/>
          <w:sz w:val="24"/>
          <w:highlight w:val="none"/>
        </w:rPr>
        <w:t>（有一项不符合要求，不能进入下一阶段评审）</w:t>
      </w:r>
    </w:p>
    <w:tbl>
      <w:tblPr>
        <w:tblStyle w:val="18"/>
        <w:tblW w:w="8418" w:type="dxa"/>
        <w:jc w:val="center"/>
        <w:tblLayout w:type="fixed"/>
        <w:tblCellMar>
          <w:top w:w="0" w:type="dxa"/>
          <w:left w:w="0" w:type="dxa"/>
          <w:bottom w:w="0" w:type="dxa"/>
          <w:right w:w="0" w:type="dxa"/>
        </w:tblCellMar>
      </w:tblPr>
      <w:tblGrid>
        <w:gridCol w:w="671"/>
        <w:gridCol w:w="6992"/>
        <w:gridCol w:w="755"/>
      </w:tblGrid>
      <w:tr>
        <w:tblPrEx>
          <w:tblCellMar>
            <w:top w:w="0" w:type="dxa"/>
            <w:left w:w="0" w:type="dxa"/>
            <w:bottom w:w="0" w:type="dxa"/>
            <w:right w:w="0" w:type="dxa"/>
          </w:tblCellMar>
        </w:tblPrEx>
        <w:trPr>
          <w:trHeight w:val="539" w:hRule="atLeast"/>
          <w:tblHeader/>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bookmarkStart w:id="76" w:name="资格性证明材料：Document"/>
            <w:bookmarkStart w:id="77" w:name="sys_资格性证明材料：Document"/>
            <w:r>
              <w:rPr>
                <w:rFonts w:hint="eastAsia" w:ascii="仿宋_GB2312" w:hAnsi="仿宋_GB2312" w:eastAsia="仿宋_GB2312" w:cs="仿宋_GB2312"/>
                <w:color w:val="auto"/>
                <w:szCs w:val="21"/>
                <w:highlight w:val="none"/>
              </w:rPr>
              <w:t>序号</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资格证明材料</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格式</w:t>
            </w:r>
          </w:p>
        </w:tc>
      </w:tr>
      <w:tr>
        <w:tblPrEx>
          <w:tblCellMar>
            <w:top w:w="0" w:type="dxa"/>
            <w:left w:w="0" w:type="dxa"/>
            <w:bottom w:w="0" w:type="dxa"/>
            <w:right w:w="0" w:type="dxa"/>
          </w:tblCellMar>
        </w:tblPrEx>
        <w:trPr>
          <w:trHeight w:val="78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营业执照或事业单位法人证书或执业许可证等证明文件复印件或自然人的身份证明复印件（自然人身份证明仅在自然人作为投标主体时适用）</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组织机构代码证复印件（三证合一的不需提供）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税务登记证复印件（三证合一的不需提供）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法定代表人（或非法人组织负责人）身份证明书（自然人投标的无需提供）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法定代表人（或非法人组织负责人）授权委托书（授权委托人参加投标的须提供）</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r>
      <w:tr>
        <w:tblPrEx>
          <w:tblCellMar>
            <w:top w:w="0" w:type="dxa"/>
            <w:left w:w="0" w:type="dxa"/>
            <w:bottom w:w="0" w:type="dxa"/>
            <w:right w:w="0" w:type="dxa"/>
          </w:tblCellMar>
        </w:tblPrEx>
        <w:trPr>
          <w:trHeight w:val="52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具有良好的商业信誉和健全的财务会计制度的承诺函</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p>
        </w:tc>
      </w:tr>
      <w:tr>
        <w:tblPrEx>
          <w:tblCellMar>
            <w:top w:w="0" w:type="dxa"/>
            <w:left w:w="0" w:type="dxa"/>
            <w:bottom w:w="0" w:type="dxa"/>
            <w:right w:w="0" w:type="dxa"/>
          </w:tblCellMar>
        </w:tblPrEx>
        <w:trPr>
          <w:trHeight w:val="104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开标时间前六个月内任一个月的依法缴纳税收的缴款凭据复印件</w:t>
            </w:r>
          </w:p>
          <w:p>
            <w:pPr>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（注：依法免税的投标人，应提供相关证明材料，包括相关法规要求原文及加盖单位公章的情况说明）</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p>
        </w:tc>
      </w:tr>
      <w:tr>
        <w:tblPrEx>
          <w:tblCellMar>
            <w:top w:w="0" w:type="dxa"/>
            <w:left w:w="0" w:type="dxa"/>
            <w:bottom w:w="0" w:type="dxa"/>
            <w:right w:w="0" w:type="dxa"/>
          </w:tblCellMar>
        </w:tblPrEx>
        <w:trPr>
          <w:trHeight w:val="104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开标时间前六个月内任一个月的依法缴纳社会保障资金的缴款凭据复印件（注：依法不需要缴纳社会保障资金的投标人，应提供相关证明材料，包括相关法规要求原文及加盖单位公章的情况说明）</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p>
        </w:tc>
      </w:tr>
      <w:tr>
        <w:tblPrEx>
          <w:tblCellMar>
            <w:top w:w="0" w:type="dxa"/>
            <w:left w:w="0" w:type="dxa"/>
            <w:bottom w:w="0" w:type="dxa"/>
            <w:right w:w="0" w:type="dxa"/>
          </w:tblCellMar>
        </w:tblPrEx>
        <w:trPr>
          <w:trHeight w:val="45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具备履行合同所必需的设备和专业技术能力声明函</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p>
        </w:tc>
      </w:tr>
      <w:tr>
        <w:tblPrEx>
          <w:tblCellMar>
            <w:top w:w="0" w:type="dxa"/>
            <w:left w:w="0" w:type="dxa"/>
            <w:bottom w:w="0" w:type="dxa"/>
            <w:right w:w="0" w:type="dxa"/>
          </w:tblCellMar>
        </w:tblPrEx>
        <w:trPr>
          <w:trHeight w:val="543"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参加政府采购活动前3年内在经营活动中没有重大违法记录的书面声明</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w:t>
            </w:r>
          </w:p>
        </w:tc>
      </w:tr>
      <w:tr>
        <w:tblPrEx>
          <w:tblCellMar>
            <w:top w:w="0" w:type="dxa"/>
            <w:left w:w="0" w:type="dxa"/>
            <w:bottom w:w="0" w:type="dxa"/>
            <w:right w:w="0" w:type="dxa"/>
          </w:tblCellMar>
        </w:tblPrEx>
        <w:trPr>
          <w:trHeight w:val="789"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w:t>
            </w:r>
          </w:p>
        </w:tc>
        <w:tc>
          <w:tcPr>
            <w:tcW w:w="6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信用记录（采购人或采购代理机构将在招标文件规定的审查期间内进行查询）</w:t>
            </w: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color w:val="auto"/>
                <w:szCs w:val="21"/>
                <w:highlight w:val="none"/>
              </w:rPr>
            </w:pPr>
          </w:p>
        </w:tc>
      </w:tr>
    </w:tbl>
    <w:p>
      <w:pPr>
        <w:snapToGrid w:val="0"/>
        <w:spacing w:before="159" w:beforeLines="50"/>
        <w:rPr>
          <w:rFonts w:ascii="仿宋_GB2312" w:hAnsi="仿宋_GB2312" w:eastAsia="仿宋_GB2312" w:cs="仿宋_GB2312"/>
          <w:b/>
          <w:color w:val="auto"/>
          <w:sz w:val="24"/>
          <w:highlight w:val="none"/>
        </w:rPr>
      </w:pPr>
      <w:bookmarkStart w:id="78" w:name="_Toc25206_WPSOffice_Level2"/>
      <w:bookmarkStart w:id="79" w:name="_Toc22359_WPSOffice_Level2"/>
      <w:r>
        <w:rPr>
          <w:rFonts w:hint="eastAsia" w:ascii="仿宋_GB2312" w:hAnsi="仿宋_GB2312" w:eastAsia="仿宋_GB2312" w:cs="仿宋_GB2312"/>
          <w:b/>
          <w:color w:val="auto"/>
          <w:sz w:val="24"/>
          <w:highlight w:val="none"/>
        </w:rPr>
        <w:t>三、符合性证明材料</w:t>
      </w:r>
      <w:bookmarkEnd w:id="78"/>
      <w:bookmarkEnd w:id="79"/>
      <w:r>
        <w:rPr>
          <w:rFonts w:hint="eastAsia" w:ascii="仿宋_GB2312" w:hAnsi="仿宋_GB2312" w:eastAsia="仿宋_GB2312" w:cs="仿宋_GB2312"/>
          <w:b/>
          <w:color w:val="auto"/>
          <w:sz w:val="24"/>
          <w:highlight w:val="none"/>
        </w:rPr>
        <w:t>（有一项不符合要求，不能进入下一阶段评审）</w:t>
      </w:r>
    </w:p>
    <w:bookmarkEnd w:id="76"/>
    <w:bookmarkEnd w:id="77"/>
    <w:tbl>
      <w:tblPr>
        <w:tblStyle w:val="18"/>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98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667"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序号</w:t>
            </w:r>
          </w:p>
        </w:tc>
        <w:tc>
          <w:tcPr>
            <w:tcW w:w="698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符合性证明材料</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6986"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投标函</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w:t>
            </w:r>
          </w:p>
        </w:tc>
        <w:tc>
          <w:tcPr>
            <w:tcW w:w="6986"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递交投标保证金证明材料复印件</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w:t>
            </w:r>
          </w:p>
        </w:tc>
        <w:tc>
          <w:tcPr>
            <w:tcW w:w="6986"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开标一览表</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w:t>
            </w:r>
          </w:p>
        </w:tc>
        <w:tc>
          <w:tcPr>
            <w:tcW w:w="6986"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分项报价表</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w:t>
            </w:r>
          </w:p>
        </w:tc>
        <w:tc>
          <w:tcPr>
            <w:tcW w:w="6986"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技术规格偏离表</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w:t>
            </w:r>
          </w:p>
        </w:tc>
        <w:tc>
          <w:tcPr>
            <w:tcW w:w="6986"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商务条款偏离表</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w:t>
            </w:r>
          </w:p>
        </w:tc>
        <w:tc>
          <w:tcPr>
            <w:tcW w:w="6986"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投标人关联单位说明</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w:t>
            </w:r>
          </w:p>
        </w:tc>
        <w:tc>
          <w:tcPr>
            <w:tcW w:w="6986"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电子文件与备份文件内容、格式一致性承诺函</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w:t>
            </w:r>
          </w:p>
        </w:tc>
        <w:tc>
          <w:tcPr>
            <w:tcW w:w="6986"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其他符合性证明材料：</w:t>
            </w:r>
          </w:p>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货物主要技术指标和性能的详细说明（产品技术说明书、技术白皮书、产品彩页等文字资料、图纸和数据均可）</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w:t>
            </w:r>
          </w:p>
        </w:tc>
        <w:tc>
          <w:tcPr>
            <w:tcW w:w="6986" w:type="dxa"/>
            <w:vAlign w:val="center"/>
          </w:tcPr>
          <w:p>
            <w:pPr>
              <w:pStyle w:val="8"/>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投标人如为代理商须提供制造厂商或区域代理商出具的产品授权书和售后服务承诺书，若由区域代理商出具，还需提供区域代理商的证明文件（产品授权书及售后服务承诺书不是中文时，应附中文译本并加盖单位公章，如不一致，以中文为准，制造厂商出具的产品授权书须符合招标文件格式16要求）</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7"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r>
              <w:rPr>
                <w:rFonts w:ascii="仿宋_GB2312" w:hAnsi="仿宋_GB2312" w:eastAsia="仿宋_GB2312" w:cs="仿宋_GB2312"/>
                <w:color w:val="auto"/>
                <w:kern w:val="0"/>
                <w:szCs w:val="21"/>
                <w:highlight w:val="none"/>
              </w:rPr>
              <w:t>1</w:t>
            </w:r>
          </w:p>
        </w:tc>
        <w:tc>
          <w:tcPr>
            <w:tcW w:w="6986"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投标人售后服务承诺书</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w:t>
            </w:r>
          </w:p>
        </w:tc>
      </w:tr>
    </w:tbl>
    <w:p>
      <w:pPr>
        <w:snapToGrid w:val="0"/>
        <w:spacing w:before="159" w:beforeLines="50"/>
        <w:rPr>
          <w:rFonts w:ascii="仿宋_GB2312" w:hAnsi="仿宋_GB2312" w:eastAsia="仿宋_GB2312" w:cs="仿宋_GB2312"/>
          <w:b/>
          <w:color w:val="auto"/>
          <w:sz w:val="24"/>
          <w:highlight w:val="none"/>
        </w:rPr>
      </w:pPr>
      <w:bookmarkStart w:id="80" w:name="_Toc24432_WPSOffice_Level2"/>
      <w:bookmarkStart w:id="81" w:name="_Toc27769_WPSOffice_Level2"/>
      <w:r>
        <w:rPr>
          <w:rFonts w:hint="eastAsia" w:ascii="仿宋_GB2312" w:hAnsi="仿宋_GB2312" w:eastAsia="仿宋_GB2312" w:cs="仿宋_GB2312"/>
          <w:b/>
          <w:color w:val="auto"/>
          <w:sz w:val="24"/>
          <w:highlight w:val="none"/>
        </w:rPr>
        <w:t>四、其他材料</w:t>
      </w:r>
      <w:bookmarkEnd w:id="80"/>
      <w:bookmarkEnd w:id="81"/>
      <w:r>
        <w:rPr>
          <w:rFonts w:hint="eastAsia" w:ascii="仿宋_GB2312" w:hAnsi="仿宋_GB2312" w:eastAsia="仿宋_GB2312" w:cs="仿宋_GB2312"/>
          <w:b/>
          <w:color w:val="auto"/>
          <w:sz w:val="24"/>
          <w:highlight w:val="none"/>
        </w:rPr>
        <w:t>（如有，请提供；如未提供，投标文件不作无效处理）</w:t>
      </w:r>
    </w:p>
    <w:tbl>
      <w:tblPr>
        <w:tblStyle w:val="18"/>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6985"/>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blHeader/>
          <w:jc w:val="center"/>
        </w:trPr>
        <w:tc>
          <w:tcPr>
            <w:tcW w:w="668"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序号</w:t>
            </w:r>
          </w:p>
        </w:tc>
        <w:tc>
          <w:tcPr>
            <w:tcW w:w="6985"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其他材料</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68"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6985"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《品目清单》、国家确定的认证机构出具的、处于有效期之内的《节能产品、环境标志产品认证证书》（非政府强制采购的节能产品可以提供） </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68"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w:t>
            </w:r>
          </w:p>
        </w:tc>
        <w:tc>
          <w:tcPr>
            <w:tcW w:w="6985" w:type="dxa"/>
            <w:vAlign w:val="center"/>
          </w:tcPr>
          <w:p>
            <w:pPr>
              <w:adjustRightInd w:val="0"/>
              <w:snapToGrid w:val="0"/>
              <w:ind w:left="25" w:leftChars="12"/>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监狱企业证明文件</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68"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w:t>
            </w:r>
          </w:p>
        </w:tc>
        <w:tc>
          <w:tcPr>
            <w:tcW w:w="6985" w:type="dxa"/>
            <w:vAlign w:val="center"/>
          </w:tcPr>
          <w:p>
            <w:pPr>
              <w:adjustRightInd w:val="0"/>
              <w:snapToGrid w:val="0"/>
              <w:ind w:left="25" w:leftChars="12"/>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中小企业声明函</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68"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w:t>
            </w:r>
          </w:p>
        </w:tc>
        <w:tc>
          <w:tcPr>
            <w:tcW w:w="6985" w:type="dxa"/>
            <w:vAlign w:val="center"/>
          </w:tcPr>
          <w:p>
            <w:pPr>
              <w:adjustRightInd w:val="0"/>
              <w:snapToGrid w:val="0"/>
              <w:ind w:left="25" w:leftChars="1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残疾人福利性单位声明函</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68" w:type="dxa"/>
            <w:vAlign w:val="center"/>
          </w:tcPr>
          <w:p>
            <w:pPr>
              <w:adjustRightInd w:val="0"/>
              <w:snapToGrid w:val="0"/>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w:t>
            </w:r>
          </w:p>
        </w:tc>
        <w:tc>
          <w:tcPr>
            <w:tcW w:w="6985" w:type="dxa"/>
            <w:vAlign w:val="center"/>
          </w:tcPr>
          <w:p>
            <w:pPr>
              <w:adjustRightInd w:val="0"/>
              <w:snapToGrid w:val="0"/>
              <w:ind w:left="25" w:leftChars="1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列入《辽宁省创新产品和服务目录》内的产品、服务的证明材料</w:t>
            </w:r>
          </w:p>
        </w:tc>
        <w:tc>
          <w:tcPr>
            <w:tcW w:w="756" w:type="dxa"/>
            <w:vAlign w:val="center"/>
          </w:tcPr>
          <w:p>
            <w:pPr>
              <w:adjustRightInd w:val="0"/>
              <w:snapToGrid w:val="0"/>
              <w:jc w:val="center"/>
              <w:rPr>
                <w:rFonts w:ascii="仿宋_GB2312" w:hAnsi="仿宋_GB2312" w:eastAsia="仿宋_GB2312" w:cs="仿宋_GB2312"/>
                <w:color w:val="auto"/>
                <w:kern w:val="0"/>
                <w:szCs w:val="21"/>
                <w:highlight w:val="none"/>
              </w:rPr>
            </w:pPr>
          </w:p>
        </w:tc>
      </w:tr>
    </w:tbl>
    <w:p>
      <w:pPr>
        <w:adjustRightInd w:val="0"/>
        <w:snapToGrid w:val="0"/>
        <w:spacing w:line="360" w:lineRule="auto"/>
        <w:ind w:firstLine="480" w:firstLineChars="200"/>
        <w:rPr>
          <w:rFonts w:ascii="仿宋_GB2312" w:hAnsi="仿宋_GB2312" w:eastAsia="仿宋_GB2312" w:cs="仿宋_GB2312"/>
          <w:b/>
          <w:color w:val="auto"/>
          <w:sz w:val="24"/>
          <w:highlight w:val="none"/>
        </w:rPr>
      </w:pPr>
      <w:bookmarkStart w:id="82" w:name="_Toc24011_WPSOffice_Level2"/>
      <w:bookmarkStart w:id="83" w:name="_Toc23127_WPSOffice_Level2"/>
      <w:r>
        <w:rPr>
          <w:rFonts w:hint="eastAsia" w:ascii="仿宋_GB2312" w:hAnsi="仿宋_GB2312" w:eastAsia="仿宋_GB2312" w:cs="仿宋_GB2312"/>
          <w:b/>
          <w:color w:val="auto"/>
          <w:sz w:val="24"/>
          <w:highlight w:val="none"/>
        </w:rPr>
        <w:t>重要提示：</w:t>
      </w:r>
      <w:bookmarkEnd w:id="82"/>
      <w:bookmarkEnd w:id="83"/>
    </w:p>
    <w:p>
      <w:pPr>
        <w:adjustRightInd w:val="0"/>
        <w:snapToGrid w:val="0"/>
        <w:spacing w:line="360" w:lineRule="auto"/>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1、投标人提供的证明材料，除需要投标人填报或有特殊说明外，均须按要求提供。</w:t>
      </w:r>
      <w:r>
        <w:rPr>
          <w:rFonts w:hint="eastAsia" w:ascii="仿宋_GB2312" w:hAnsi="仿宋_GB2312" w:eastAsia="仿宋_GB2312" w:cs="仿宋_GB2312"/>
          <w:b/>
          <w:bCs/>
          <w:color w:val="auto"/>
          <w:szCs w:val="21"/>
          <w:highlight w:val="none"/>
        </w:rPr>
        <w:t xml:space="preserve"> </w:t>
      </w:r>
    </w:p>
    <w:p>
      <w:pPr>
        <w:adjustRightInd w:val="0"/>
        <w:snapToGrid w:val="0"/>
        <w:spacing w:line="360" w:lineRule="auto"/>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2、投标人在编制投标文件时，对于给定格式的文件内容，必须按照给定的标准格式进行填报；对于没有给定标准格式的文件内容，可以由投标人自行设计。</w:t>
      </w:r>
    </w:p>
    <w:p>
      <w:pPr>
        <w:adjustRightInd w:val="0"/>
        <w:snapToGrid w:val="0"/>
        <w:spacing w:line="360" w:lineRule="auto"/>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3、投标文件应用中文书写。投标文件中所附或所引用的材料不是中文时，应附中文译本，并加盖单位公章（自然人投标的，无需加盖单位公章，需要签字）。</w:t>
      </w:r>
    </w:p>
    <w:p>
      <w:pPr>
        <w:adjustRightInd w:val="0"/>
        <w:snapToGrid w:val="0"/>
        <w:spacing w:line="360" w:lineRule="auto"/>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4、</w:t>
      </w:r>
      <w:r>
        <w:rPr>
          <w:rFonts w:hint="eastAsia" w:ascii="仿宋_GB2312" w:hAnsi="仿宋_GB2312" w:eastAsia="仿宋_GB2312" w:cs="仿宋_GB2312"/>
          <w:b/>
          <w:bCs/>
          <w:color w:val="auto"/>
          <w:szCs w:val="21"/>
          <w:highlight w:val="none"/>
        </w:rPr>
        <w:t>“资格证明材料”</w:t>
      </w:r>
      <w:r>
        <w:rPr>
          <w:rFonts w:hint="eastAsia" w:ascii="仿宋_GB2312" w:hAnsi="仿宋_GB2312" w:eastAsia="仿宋_GB2312" w:cs="仿宋_GB2312"/>
          <w:color w:val="auto"/>
          <w:highlight w:val="none"/>
        </w:rPr>
        <w:t>所列内容即为采购项目的资格审查条件，有一项不符合要求，不能进入下一阶段评审。</w:t>
      </w:r>
    </w:p>
    <w:p>
      <w:pPr>
        <w:adjustRightInd w:val="0"/>
        <w:snapToGrid w:val="0"/>
        <w:spacing w:line="360" w:lineRule="auto"/>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r>
        <w:rPr>
          <w:rFonts w:hint="eastAsia" w:ascii="仿宋_GB2312" w:hAnsi="仿宋_GB2312" w:eastAsia="仿宋_GB2312" w:cs="仿宋_GB2312"/>
          <w:b/>
          <w:bCs/>
          <w:color w:val="auto"/>
          <w:szCs w:val="21"/>
          <w:highlight w:val="none"/>
        </w:rPr>
        <w:t>“符合性证明材料”</w:t>
      </w:r>
      <w:r>
        <w:rPr>
          <w:rFonts w:hint="eastAsia" w:ascii="仿宋_GB2312" w:hAnsi="仿宋_GB2312" w:eastAsia="仿宋_GB2312" w:cs="仿宋_GB2312"/>
          <w:color w:val="auto"/>
          <w:highlight w:val="none"/>
        </w:rPr>
        <w:t>所列内容即为采购项目的符合性审查条件，有一项不符合要求，不能进入下一阶段评审。</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6、</w:t>
      </w:r>
      <w:r>
        <w:rPr>
          <w:rFonts w:hint="eastAsia" w:ascii="仿宋_GB2312" w:hAnsi="仿宋_GB2312" w:eastAsia="仿宋_GB2312" w:cs="仿宋_GB2312"/>
          <w:color w:val="auto"/>
          <w:szCs w:val="21"/>
          <w:highlight w:val="none"/>
        </w:rPr>
        <w:t>“其他材料”</w:t>
      </w:r>
    </w:p>
    <w:p>
      <w:pPr>
        <w:adjustRightInd w:val="0"/>
        <w:snapToGrid w:val="0"/>
        <w:spacing w:line="360" w:lineRule="auto"/>
        <w:ind w:firstLine="420"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kern w:val="0"/>
          <w:szCs w:val="21"/>
          <w:highlight w:val="none"/>
        </w:rPr>
        <w:t>综合评分法：</w:t>
      </w:r>
      <w:r>
        <w:rPr>
          <w:rFonts w:hint="eastAsia" w:ascii="仿宋_GB2312" w:hAnsi="仿宋_GB2312" w:eastAsia="仿宋_GB2312" w:cs="仿宋_GB2312"/>
          <w:color w:val="auto"/>
          <w:szCs w:val="21"/>
          <w:highlight w:val="none"/>
        </w:rPr>
        <w:t>投标人可就</w:t>
      </w:r>
      <w:r>
        <w:rPr>
          <w:rFonts w:hint="eastAsia" w:ascii="仿宋_GB2312" w:hAnsi="仿宋_GB2312" w:eastAsia="仿宋_GB2312" w:cs="仿宋_GB2312"/>
          <w:color w:val="auto"/>
          <w:kern w:val="0"/>
          <w:szCs w:val="21"/>
          <w:highlight w:val="none"/>
        </w:rPr>
        <w:t>招标文件要求以及评分细则中各项要求提供相应材料。</w:t>
      </w:r>
    </w:p>
    <w:p>
      <w:pPr>
        <w:adjustRightInd w:val="0"/>
        <w:snapToGrid w:val="0"/>
        <w:spacing w:line="360" w:lineRule="auto"/>
        <w:ind w:firstLine="420"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kern w:val="0"/>
          <w:szCs w:val="21"/>
          <w:highlight w:val="none"/>
        </w:rPr>
        <w:t>最低评标价法：</w:t>
      </w:r>
      <w:r>
        <w:rPr>
          <w:rFonts w:hint="eastAsia" w:ascii="仿宋_GB2312" w:hAnsi="仿宋_GB2312" w:eastAsia="仿宋_GB2312" w:cs="仿宋_GB2312"/>
          <w:color w:val="auto"/>
          <w:szCs w:val="21"/>
          <w:highlight w:val="none"/>
        </w:rPr>
        <w:t>投标人可就</w:t>
      </w:r>
      <w:r>
        <w:rPr>
          <w:rFonts w:hint="eastAsia" w:ascii="仿宋_GB2312" w:hAnsi="仿宋_GB2312" w:eastAsia="仿宋_GB2312" w:cs="仿宋_GB2312"/>
          <w:color w:val="auto"/>
          <w:kern w:val="0"/>
          <w:szCs w:val="21"/>
          <w:highlight w:val="none"/>
        </w:rPr>
        <w:t>招标文件要求提供相应材料。</w:t>
      </w:r>
    </w:p>
    <w:p>
      <w:pPr>
        <w:snapToGrid w:val="0"/>
        <w:spacing w:line="276" w:lineRule="auto"/>
        <w:jc w:val="left"/>
        <w:rPr>
          <w:rFonts w:ascii="仿宋_GB2312" w:hAnsi="仿宋_GB2312" w:eastAsia="仿宋_GB2312" w:cs="仿宋_GB2312"/>
          <w:color w:val="auto"/>
          <w:szCs w:val="21"/>
          <w:highlight w:val="none"/>
        </w:rPr>
      </w:pPr>
    </w:p>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格式1</w:t>
      </w:r>
    </w:p>
    <w:p>
      <w:pPr>
        <w:jc w:val="center"/>
        <w:rPr>
          <w:rFonts w:ascii="仿宋_GB2312" w:hAnsi="仿宋_GB2312" w:eastAsia="仿宋_GB2312" w:cs="仿宋_GB2312"/>
          <w:b/>
          <w:bCs/>
          <w:color w:val="auto"/>
          <w:sz w:val="32"/>
          <w:szCs w:val="32"/>
          <w:highlight w:val="none"/>
        </w:rPr>
      </w:pPr>
      <w:bookmarkStart w:id="84" w:name="_Toc26322_WPSOffice_Level2"/>
      <w:bookmarkStart w:id="85" w:name="_Toc21090_WPSOffice_Level2"/>
      <w:r>
        <w:rPr>
          <w:rFonts w:hint="eastAsia" w:ascii="仿宋_GB2312" w:hAnsi="仿宋_GB2312" w:eastAsia="仿宋_GB2312" w:cs="仿宋_GB2312"/>
          <w:b/>
          <w:bCs/>
          <w:color w:val="auto"/>
          <w:sz w:val="32"/>
          <w:szCs w:val="32"/>
          <w:highlight w:val="none"/>
        </w:rPr>
        <w:t>备份投标文件外封面、封口格式</w:t>
      </w:r>
      <w:bookmarkEnd w:id="84"/>
      <w:bookmarkEnd w:id="85"/>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封面格式：</w:t>
      </w:r>
    </w:p>
    <w:p>
      <w:pPr>
        <w:pStyle w:val="2"/>
        <w:ind w:firstLine="210"/>
        <w:rPr>
          <w:color w:val="auto"/>
          <w:highlight w:val="none"/>
        </w:rPr>
      </w:pPr>
    </w:p>
    <w:tbl>
      <w:tblPr>
        <w:tblStyle w:val="18"/>
        <w:tblW w:w="5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5960" w:type="dxa"/>
          </w:tcPr>
          <w:p>
            <w:pPr>
              <w:jc w:val="center"/>
              <w:rPr>
                <w:rFonts w:ascii="仿宋_GB2312" w:hAnsi="仿宋_GB2312" w:eastAsia="仿宋_GB2312" w:cs="仿宋_GB2312"/>
                <w:b/>
                <w:bCs/>
                <w:color w:val="auto"/>
                <w:highlight w:val="none"/>
              </w:rPr>
            </w:pPr>
          </w:p>
          <w:p>
            <w:pPr>
              <w:jc w:val="center"/>
              <w:rPr>
                <w:rFonts w:ascii="仿宋_GB2312" w:hAnsi="仿宋_GB2312" w:eastAsia="仿宋_GB2312" w:cs="仿宋_GB2312"/>
                <w:b/>
                <w:bCs/>
                <w:color w:val="auto"/>
                <w:highlight w:val="none"/>
              </w:rPr>
            </w:pPr>
          </w:p>
          <w:p>
            <w:pPr>
              <w:jc w:val="center"/>
              <w:rPr>
                <w:rFonts w:ascii="仿宋_GB2312" w:hAnsi="仿宋_GB2312" w:eastAsia="仿宋_GB2312" w:cs="仿宋_GB2312"/>
                <w:b/>
                <w:bCs/>
                <w:color w:val="auto"/>
                <w:highlight w:val="none"/>
              </w:rPr>
            </w:pPr>
          </w:p>
          <w:p>
            <w:pPr>
              <w:jc w:val="center"/>
              <w:rPr>
                <w:rFonts w:ascii="仿宋_GB2312" w:hAnsi="仿宋_GB2312" w:eastAsia="仿宋_GB2312" w:cs="仿宋_GB2312"/>
                <w:b/>
                <w:bCs/>
                <w:color w:val="auto"/>
                <w:highlight w:val="none"/>
              </w:rPr>
            </w:pPr>
          </w:p>
          <w:p>
            <w:pPr>
              <w:jc w:val="center"/>
              <w:rPr>
                <w:rFonts w:ascii="仿宋_GB2312" w:hAnsi="仿宋_GB2312" w:eastAsia="仿宋_GB2312" w:cs="仿宋_GB2312"/>
                <w:b/>
                <w:bCs/>
                <w:color w:val="auto"/>
                <w:highlight w:val="none"/>
              </w:rPr>
            </w:pPr>
          </w:p>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sz w:val="44"/>
                <w:szCs w:val="52"/>
                <w:highlight w:val="none"/>
              </w:rPr>
              <w:t>备份投标文件</w:t>
            </w:r>
          </w:p>
          <w:p>
            <w:pPr>
              <w:jc w:val="left"/>
              <w:rPr>
                <w:rFonts w:ascii="仿宋_GB2312" w:hAnsi="仿宋_GB2312" w:eastAsia="仿宋_GB2312" w:cs="仿宋_GB2312"/>
                <w:color w:val="auto"/>
                <w:highlight w:val="none"/>
              </w:rPr>
            </w:pPr>
          </w:p>
          <w:p>
            <w:pPr>
              <w:ind w:firstLine="2240" w:firstLineChars="7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（U盘）</w:t>
            </w:r>
          </w:p>
          <w:p>
            <w:pPr>
              <w:jc w:val="left"/>
              <w:rPr>
                <w:rFonts w:ascii="仿宋_GB2312" w:hAnsi="仿宋_GB2312" w:eastAsia="仿宋_GB2312" w:cs="仿宋_GB2312"/>
                <w:color w:val="auto"/>
                <w:highlight w:val="none"/>
              </w:rPr>
            </w:pPr>
          </w:p>
          <w:p>
            <w:pPr>
              <w:jc w:val="left"/>
              <w:rPr>
                <w:rFonts w:ascii="仿宋_GB2312" w:hAnsi="仿宋_GB2312" w:eastAsia="仿宋_GB2312" w:cs="仿宋_GB2312"/>
                <w:color w:val="auto"/>
                <w:highlight w:val="none"/>
              </w:rPr>
            </w:pPr>
          </w:p>
          <w:p>
            <w:pPr>
              <w:jc w:val="left"/>
              <w:rPr>
                <w:rFonts w:ascii="仿宋_GB2312" w:hAnsi="仿宋_GB2312" w:eastAsia="仿宋_GB2312" w:cs="仿宋_GB2312"/>
                <w:color w:val="auto"/>
                <w:highlight w:val="none"/>
              </w:rPr>
            </w:pPr>
          </w:p>
          <w:p>
            <w:pPr>
              <w:jc w:val="left"/>
              <w:rPr>
                <w:rFonts w:ascii="仿宋_GB2312" w:hAnsi="仿宋_GB2312" w:eastAsia="仿宋_GB2312" w:cs="仿宋_GB2312"/>
                <w:color w:val="auto"/>
                <w:highlight w:val="none"/>
              </w:rPr>
            </w:pPr>
          </w:p>
          <w:p>
            <w:pPr>
              <w:jc w:val="left"/>
              <w:rPr>
                <w:rFonts w:ascii="仿宋_GB2312" w:hAnsi="仿宋_GB2312" w:eastAsia="仿宋_GB2312" w:cs="仿宋_GB2312"/>
                <w:color w:val="auto"/>
                <w:highlight w:val="none"/>
              </w:rPr>
            </w:pPr>
          </w:p>
          <w:p>
            <w:pPr>
              <w:jc w:val="left"/>
              <w:rPr>
                <w:rFonts w:ascii="仿宋_GB2312" w:hAnsi="仿宋_GB2312" w:eastAsia="仿宋_GB2312" w:cs="仿宋_GB2312"/>
                <w:color w:val="auto"/>
                <w:highlight w:val="none"/>
              </w:rPr>
            </w:pPr>
          </w:p>
          <w:p>
            <w:pPr>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所投包号：第  包</w:t>
            </w:r>
          </w:p>
          <w:p>
            <w:pPr>
              <w:jc w:val="left"/>
              <w:rPr>
                <w:rFonts w:ascii="仿宋_GB2312" w:hAnsi="仿宋_GB2312" w:eastAsia="仿宋_GB2312" w:cs="仿宋_GB2312"/>
                <w:color w:val="auto"/>
                <w:highlight w:val="none"/>
              </w:rPr>
            </w:pPr>
          </w:p>
          <w:p>
            <w:pPr>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项目名称：</w:t>
            </w:r>
          </w:p>
          <w:p>
            <w:pPr>
              <w:jc w:val="left"/>
              <w:rPr>
                <w:rFonts w:ascii="仿宋_GB2312" w:hAnsi="仿宋_GB2312" w:eastAsia="仿宋_GB2312" w:cs="仿宋_GB2312"/>
                <w:color w:val="auto"/>
                <w:highlight w:val="none"/>
              </w:rPr>
            </w:pPr>
          </w:p>
          <w:p>
            <w:pPr>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项目编号：</w:t>
            </w:r>
          </w:p>
          <w:p>
            <w:pPr>
              <w:rPr>
                <w:rFonts w:ascii="仿宋_GB2312" w:hAnsi="仿宋_GB2312" w:eastAsia="仿宋_GB2312" w:cs="仿宋_GB2312"/>
                <w:color w:val="auto"/>
                <w:highlight w:val="none"/>
              </w:rPr>
            </w:pPr>
          </w:p>
          <w:p>
            <w:pPr>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p>
        </w:tc>
      </w:tr>
    </w:tbl>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r>
        <w:rPr>
          <w:rFonts w:hint="eastAsia" w:ascii="仿宋_GB2312" w:hAnsi="仿宋_GB2312" w:eastAsia="仿宋_GB2312" w:cs="仿宋_GB2312"/>
          <w:color w:val="auto"/>
          <w:sz w:val="24"/>
          <w:szCs w:val="32"/>
          <w:highlight w:val="none"/>
        </w:rPr>
        <w:t>封口格式：</w:t>
      </w:r>
    </w:p>
    <w:tbl>
      <w:tblPr>
        <w:tblStyle w:val="1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78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——于   年  月  日   时之前不准启封（公章）——</w:t>
            </w:r>
          </w:p>
        </w:tc>
      </w:tr>
    </w:tbl>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格式2</w:t>
      </w:r>
    </w:p>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投标文件的封皮</w:t>
      </w: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jc w:val="center"/>
        <w:rPr>
          <w:rFonts w:ascii="仿宋_GB2312" w:hAnsi="仿宋_GB2312" w:eastAsia="仿宋_GB2312" w:cs="仿宋_GB2312"/>
          <w:b/>
          <w:bCs/>
          <w:color w:val="auto"/>
          <w:sz w:val="52"/>
          <w:szCs w:val="52"/>
          <w:highlight w:val="none"/>
        </w:rPr>
      </w:pPr>
      <w:r>
        <w:rPr>
          <w:rFonts w:hint="eastAsia" w:ascii="仿宋_GB2312" w:hAnsi="仿宋_GB2312" w:eastAsia="仿宋_GB2312" w:cs="仿宋_GB2312"/>
          <w:b/>
          <w:bCs/>
          <w:color w:val="auto"/>
          <w:sz w:val="52"/>
          <w:szCs w:val="52"/>
          <w:highlight w:val="none"/>
        </w:rPr>
        <w:t>投  标  文  件</w:t>
      </w: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所投包号：第  包</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项目名称：</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项目编号：</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投标人名称 ：</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格式3</w:t>
      </w:r>
    </w:p>
    <w:p>
      <w:pPr>
        <w:spacing w:before="319" w:beforeLines="100" w:after="319" w:afterLines="100" w:line="360" w:lineRule="auto"/>
        <w:ind w:right="-21" w:rightChars="-10"/>
        <w:jc w:val="center"/>
        <w:rPr>
          <w:rFonts w:ascii="仿宋_GB2312" w:hAnsi="仿宋_GB2312" w:eastAsia="仿宋_GB2312" w:cs="仿宋_GB2312"/>
          <w:b/>
          <w:color w:val="auto"/>
          <w:sz w:val="32"/>
          <w:szCs w:val="32"/>
          <w:highlight w:val="none"/>
        </w:rPr>
      </w:pPr>
      <w:bookmarkStart w:id="86" w:name="_Toc2304_WPSOffice_Level2"/>
      <w:bookmarkStart w:id="87" w:name="_Toc21414_WPSOffice_Level2"/>
      <w:r>
        <w:rPr>
          <w:rFonts w:hint="eastAsia" w:ascii="仿宋_GB2312" w:hAnsi="仿宋_GB2312" w:eastAsia="仿宋_GB2312" w:cs="仿宋_GB2312"/>
          <w:b/>
          <w:color w:val="auto"/>
          <w:sz w:val="32"/>
          <w:szCs w:val="32"/>
          <w:highlight w:val="none"/>
        </w:rPr>
        <w:t>目  录</w:t>
      </w:r>
      <w:bookmarkEnd w:id="86"/>
      <w:bookmarkEnd w:id="87"/>
    </w:p>
    <w:p>
      <w:pPr>
        <w:rPr>
          <w:rFonts w:ascii="仿宋_GB2312" w:hAnsi="仿宋_GB2312" w:eastAsia="仿宋_GB2312" w:cs="仿宋_GB2312"/>
          <w:color w:val="auto"/>
          <w:highlight w:val="none"/>
        </w:rPr>
      </w:pPr>
      <w:bookmarkStart w:id="88" w:name="_Toc30940_WPSOffice_Level2"/>
      <w:bookmarkStart w:id="89" w:name="_Toc7636_WPSOffice_Level2"/>
      <w:r>
        <w:rPr>
          <w:rFonts w:hint="eastAsia" w:ascii="仿宋_GB2312" w:hAnsi="仿宋_GB2312" w:eastAsia="仿宋_GB2312" w:cs="仿宋_GB2312"/>
          <w:color w:val="auto"/>
          <w:highlight w:val="none"/>
        </w:rPr>
        <w:t>一、资格证明材料</w:t>
      </w:r>
      <w:bookmarkEnd w:id="88"/>
      <w:bookmarkEnd w:id="89"/>
    </w:p>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p>
    <w:p>
      <w:pPr>
        <w:rPr>
          <w:rFonts w:ascii="仿宋_GB2312" w:hAnsi="仿宋_GB2312" w:eastAsia="仿宋_GB2312" w:cs="仿宋_GB2312"/>
          <w:color w:val="auto"/>
          <w:highlight w:val="none"/>
        </w:rPr>
      </w:pPr>
      <w:bookmarkStart w:id="90" w:name="_Toc13950_WPSOffice_Level2"/>
      <w:bookmarkStart w:id="91" w:name="_Toc31702_WPSOffice_Level2"/>
      <w:r>
        <w:rPr>
          <w:rFonts w:hint="eastAsia" w:ascii="仿宋_GB2312" w:hAnsi="仿宋_GB2312" w:eastAsia="仿宋_GB2312" w:cs="仿宋_GB2312"/>
          <w:color w:val="auto"/>
          <w:highlight w:val="none"/>
        </w:rPr>
        <w:t>二、符合性证明材料</w:t>
      </w:r>
      <w:bookmarkEnd w:id="90"/>
      <w:bookmarkEnd w:id="91"/>
    </w:p>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p>
    <w:p>
      <w:pPr>
        <w:rPr>
          <w:rFonts w:ascii="仿宋_GB2312" w:hAnsi="仿宋_GB2312" w:eastAsia="仿宋_GB2312" w:cs="仿宋_GB2312"/>
          <w:color w:val="auto"/>
          <w:highlight w:val="none"/>
        </w:rPr>
      </w:pPr>
      <w:bookmarkStart w:id="92" w:name="_Toc14854_WPSOffice_Level2"/>
      <w:bookmarkStart w:id="93" w:name="_Toc9090_WPSOffice_Level2"/>
      <w:r>
        <w:rPr>
          <w:rFonts w:hint="eastAsia" w:ascii="仿宋_GB2312" w:hAnsi="仿宋_GB2312" w:eastAsia="仿宋_GB2312" w:cs="仿宋_GB2312"/>
          <w:color w:val="auto"/>
          <w:highlight w:val="none"/>
        </w:rPr>
        <w:t>三、其它材料</w:t>
      </w:r>
      <w:bookmarkEnd w:id="92"/>
      <w:bookmarkEnd w:id="93"/>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p>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p>
    <w:p>
      <w:pPr>
        <w:adjustRightInd w:val="0"/>
        <w:snapToGrid w:val="0"/>
        <w:spacing w:line="360" w:lineRule="auto"/>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我单位的投标文件由资格证明材料、符合性证明材料和其它材料三部分组成，在此加盖单位公章并由法定代表人（或非法人组织负责人）或其授权委托人签字，保证投标文件中所有材料真实、有效。</w:t>
      </w:r>
    </w:p>
    <w:p>
      <w:pPr>
        <w:spacing w:line="360" w:lineRule="auto"/>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其授权委托人(签字或盖章)：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color w:val="auto"/>
          <w:szCs w:val="28"/>
          <w:highlight w:val="none"/>
        </w:rPr>
        <w:t>格式4</w:t>
      </w:r>
    </w:p>
    <w:p>
      <w:pPr>
        <w:spacing w:before="319" w:beforeLines="100" w:after="319" w:afterLines="100" w:line="360" w:lineRule="auto"/>
        <w:ind w:right="-21" w:rightChars="-10"/>
        <w:jc w:val="center"/>
        <w:rPr>
          <w:rFonts w:ascii="仿宋_GB2312" w:hAnsi="仿宋_GB2312" w:eastAsia="仿宋_GB2312" w:cs="仿宋_GB2312"/>
          <w:b/>
          <w:color w:val="auto"/>
          <w:sz w:val="32"/>
          <w:szCs w:val="32"/>
          <w:highlight w:val="none"/>
        </w:rPr>
      </w:pPr>
      <w:bookmarkStart w:id="94" w:name="_Toc3401_WPSOffice_Level2"/>
      <w:bookmarkStart w:id="95" w:name="_Toc16924_WPSOffice_Level2"/>
      <w:r>
        <w:rPr>
          <w:rFonts w:hint="eastAsia" w:ascii="仿宋_GB2312" w:hAnsi="仿宋_GB2312" w:eastAsia="仿宋_GB2312" w:cs="仿宋_GB2312"/>
          <w:b/>
          <w:color w:val="auto"/>
          <w:sz w:val="32"/>
          <w:szCs w:val="32"/>
          <w:highlight w:val="none"/>
        </w:rPr>
        <w:t>法定代表人（或非法人组织负责人）身份证明书</w:t>
      </w:r>
      <w:bookmarkEnd w:id="94"/>
      <w:bookmarkEnd w:id="95"/>
    </w:p>
    <w:p>
      <w:pPr>
        <w:spacing w:line="360" w:lineRule="auto"/>
        <w:ind w:firstLine="840" w:firstLineChars="4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姓名：</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，性别：</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，出生日期：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，现任职务：</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，系</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（投标人名称）的法定代表人（或非法人组织负责人）。</w:t>
      </w:r>
    </w:p>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特此证明。</w:t>
      </w:r>
    </w:p>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p>
    <w:tbl>
      <w:tblPr>
        <w:tblStyle w:val="18"/>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（※法定代表人（或非法人组织负责人）身份证正、反面复印件※）</w:t>
            </w:r>
          </w:p>
        </w:tc>
      </w:tr>
    </w:tbl>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p>
    <w:p>
      <w:pPr>
        <w:rPr>
          <w:rFonts w:ascii="仿宋_GB2312" w:hAnsi="仿宋_GB2312" w:eastAsia="仿宋_GB2312" w:cs="仿宋_GB2312"/>
          <w:color w:val="auto"/>
          <w:szCs w:val="21"/>
          <w:highlight w:val="none"/>
        </w:rPr>
      </w:pPr>
    </w:p>
    <w:p>
      <w:pPr>
        <w:spacing w:line="480" w:lineRule="auto"/>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pPr>
        <w:rPr>
          <w:rFonts w:ascii="仿宋_GB2312" w:hAnsi="仿宋_GB2312" w:eastAsia="仿宋_GB2312" w:cs="仿宋_GB2312"/>
          <w:color w:val="auto"/>
          <w:highlight w:val="none"/>
        </w:rPr>
      </w:pP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br w:type="page"/>
      </w:r>
    </w:p>
    <w:p>
      <w:pPr>
        <w:pStyle w:val="5"/>
        <w:adjustRightInd w:val="0"/>
        <w:snapToGrid w:val="0"/>
        <w:spacing w:before="0" w:after="0" w:line="240" w:lineRule="auto"/>
        <w:jc w:val="left"/>
        <w:rPr>
          <w:rFonts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szCs w:val="28"/>
          <w:highlight w:val="none"/>
        </w:rPr>
        <w:t>格式5</w:t>
      </w:r>
      <w:bookmarkStart w:id="96" w:name="_Toc21833_WPSOffice_Level2"/>
      <w:bookmarkStart w:id="97" w:name="_Toc122_WPSOffice_Level2"/>
    </w:p>
    <w:p>
      <w:pPr>
        <w:spacing w:before="319" w:beforeLines="100" w:after="319" w:afterLines="100" w:line="360" w:lineRule="auto"/>
        <w:ind w:right="-21" w:rightChars="-1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法定代表人（或非法人组织负责人）授权委托书</w:t>
      </w:r>
      <w:bookmarkEnd w:id="96"/>
      <w:bookmarkEnd w:id="97"/>
    </w:p>
    <w:p>
      <w:pPr>
        <w:spacing w:line="360" w:lineRule="auto"/>
        <w:ind w:firstLine="420" w:firstLineChars="20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单位名称：</w:t>
      </w:r>
      <w:r>
        <w:rPr>
          <w:rFonts w:hint="eastAsia" w:ascii="仿宋_GB2312" w:hAnsi="仿宋_GB2312" w:eastAsia="仿宋_GB2312" w:cs="仿宋_GB2312"/>
          <w:color w:val="auto"/>
          <w:szCs w:val="21"/>
          <w:highlight w:val="none"/>
          <w:u w:val="single"/>
        </w:rPr>
        <w:t xml:space="preserve">                </w:t>
      </w:r>
    </w:p>
    <w:p>
      <w:pPr>
        <w:spacing w:line="360" w:lineRule="auto"/>
        <w:ind w:firstLine="420" w:firstLineChars="20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法定代表人（或非法人组织负责人）姓名：</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身份证号码：</w:t>
      </w:r>
      <w:r>
        <w:rPr>
          <w:rFonts w:hint="eastAsia" w:ascii="仿宋_GB2312" w:hAnsi="仿宋_GB2312" w:eastAsia="仿宋_GB2312" w:cs="仿宋_GB2312"/>
          <w:color w:val="auto"/>
          <w:szCs w:val="21"/>
          <w:highlight w:val="none"/>
          <w:u w:val="single"/>
        </w:rPr>
        <w:t xml:space="preserve">         </w:t>
      </w:r>
    </w:p>
    <w:p>
      <w:pPr>
        <w:tabs>
          <w:tab w:val="left" w:pos="5205"/>
        </w:tabs>
        <w:spacing w:line="360" w:lineRule="auto"/>
        <w:ind w:firstLine="420" w:firstLineChars="20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住所地：</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p>
    <w:p>
      <w:pPr>
        <w:spacing w:line="360" w:lineRule="auto"/>
        <w:ind w:firstLine="420" w:firstLineChars="20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授权</w:t>
      </w:r>
      <w:r>
        <w:rPr>
          <w:rFonts w:hint="eastAsia" w:ascii="仿宋_GB2312" w:hAnsi="仿宋_GB2312" w:eastAsia="仿宋_GB2312" w:cs="仿宋_GB2312"/>
          <w:color w:val="auto"/>
          <w:highlight w:val="none"/>
        </w:rPr>
        <w:t>委托</w:t>
      </w:r>
      <w:r>
        <w:rPr>
          <w:rFonts w:hint="eastAsia" w:ascii="仿宋_GB2312" w:hAnsi="仿宋_GB2312" w:eastAsia="仿宋_GB2312" w:cs="仿宋_GB2312"/>
          <w:color w:val="auto"/>
          <w:szCs w:val="21"/>
          <w:highlight w:val="none"/>
        </w:rPr>
        <w:t>人姓名：</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身份证号码：</w:t>
      </w:r>
      <w:r>
        <w:rPr>
          <w:rFonts w:hint="eastAsia" w:ascii="仿宋_GB2312" w:hAnsi="仿宋_GB2312" w:eastAsia="仿宋_GB2312" w:cs="仿宋_GB2312"/>
          <w:color w:val="auto"/>
          <w:szCs w:val="21"/>
          <w:highlight w:val="none"/>
          <w:u w:val="single"/>
        </w:rPr>
        <w:t xml:space="preserve">         </w:t>
      </w:r>
    </w:p>
    <w:p>
      <w:pPr>
        <w:spacing w:line="360" w:lineRule="auto"/>
        <w:ind w:firstLine="420" w:firstLineChars="20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工作单位：</w:t>
      </w:r>
      <w:r>
        <w:rPr>
          <w:rFonts w:hint="eastAsia" w:ascii="仿宋_GB2312" w:hAnsi="仿宋_GB2312" w:eastAsia="仿宋_GB2312" w:cs="仿宋_GB2312"/>
          <w:color w:val="auto"/>
          <w:szCs w:val="21"/>
          <w:highlight w:val="none"/>
          <w:u w:val="single"/>
        </w:rPr>
        <w:t xml:space="preserve">                  </w:t>
      </w:r>
    </w:p>
    <w:p>
      <w:pPr>
        <w:spacing w:line="360" w:lineRule="auto"/>
        <w:ind w:firstLine="420" w:firstLineChars="20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住址：</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电话：</w:t>
      </w:r>
      <w:r>
        <w:rPr>
          <w:rFonts w:hint="eastAsia" w:ascii="仿宋_GB2312" w:hAnsi="仿宋_GB2312" w:eastAsia="仿宋_GB2312" w:cs="仿宋_GB2312"/>
          <w:color w:val="auto"/>
          <w:szCs w:val="21"/>
          <w:highlight w:val="none"/>
          <w:u w:val="single"/>
        </w:rPr>
        <w:t xml:space="preserve">               </w:t>
      </w:r>
    </w:p>
    <w:p>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现委托</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就</w:t>
      </w:r>
      <w:r>
        <w:rPr>
          <w:rFonts w:hint="eastAsia" w:ascii="仿宋_GB2312" w:hAnsi="仿宋_GB2312" w:eastAsia="仿宋_GB2312" w:cs="仿宋_GB2312"/>
          <w:color w:val="auto"/>
          <w:szCs w:val="21"/>
          <w:highlight w:val="none"/>
          <w:u w:val="single"/>
        </w:rPr>
        <w:t>（项目编号、项目名称、包号）</w:t>
      </w:r>
      <w:r>
        <w:rPr>
          <w:rFonts w:hint="eastAsia" w:ascii="仿宋_GB2312" w:hAnsi="仿宋_GB2312" w:eastAsia="仿宋_GB2312" w:cs="仿宋_GB2312"/>
          <w:color w:val="auto"/>
          <w:szCs w:val="21"/>
          <w:highlight w:val="none"/>
        </w:rPr>
        <w:t>投标中，以我单位名义处理一切与之有关的事务。</w:t>
      </w:r>
    </w:p>
    <w:p>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本授权书于</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日签字或盖章生效，无转委托，特此声明。</w:t>
      </w:r>
    </w:p>
    <w:p>
      <w:pPr>
        <w:spacing w:line="360" w:lineRule="auto"/>
        <w:rPr>
          <w:rFonts w:ascii="仿宋_GB2312" w:hAnsi="仿宋_GB2312" w:eastAsia="仿宋_GB2312" w:cs="仿宋_GB2312"/>
          <w:color w:val="auto"/>
          <w:szCs w:val="21"/>
          <w:highlight w:val="none"/>
        </w:rPr>
      </w:pPr>
    </w:p>
    <w:tbl>
      <w:tblPr>
        <w:tblStyle w:val="18"/>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（※授权</w:t>
            </w:r>
            <w:r>
              <w:rPr>
                <w:rFonts w:hint="eastAsia" w:ascii="仿宋_GB2312" w:hAnsi="仿宋_GB2312" w:eastAsia="仿宋_GB2312" w:cs="仿宋_GB2312"/>
                <w:color w:val="auto"/>
                <w:highlight w:val="none"/>
              </w:rPr>
              <w:t>委托</w:t>
            </w:r>
            <w:r>
              <w:rPr>
                <w:rFonts w:hint="eastAsia" w:ascii="仿宋_GB2312" w:hAnsi="仿宋_GB2312" w:eastAsia="仿宋_GB2312" w:cs="仿宋_GB2312"/>
                <w:color w:val="auto"/>
                <w:szCs w:val="21"/>
                <w:highlight w:val="none"/>
              </w:rPr>
              <w:t>人身份证正、反面复印件※）</w:t>
            </w:r>
          </w:p>
        </w:tc>
      </w:tr>
    </w:tbl>
    <w:p>
      <w:pPr>
        <w:spacing w:line="360" w:lineRule="auto"/>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委托人（加盖单位公章）：</w:t>
      </w:r>
      <w:r>
        <w:rPr>
          <w:rFonts w:hint="eastAsia" w:ascii="仿宋_GB2312" w:hAnsi="仿宋_GB2312" w:eastAsia="仿宋_GB2312" w:cs="仿宋_GB2312"/>
          <w:color w:val="auto"/>
          <w:szCs w:val="21"/>
          <w:highlight w:val="none"/>
          <w:u w:val="single"/>
        </w:rPr>
        <w:t xml:space="preserve">              </w:t>
      </w:r>
    </w:p>
    <w:p>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法定代表人（或非法人组织负责人）（签字或盖章）：</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w:t>
      </w:r>
    </w:p>
    <w:p>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授权</w:t>
      </w:r>
      <w:r>
        <w:rPr>
          <w:rFonts w:hint="eastAsia" w:ascii="仿宋_GB2312" w:hAnsi="仿宋_GB2312" w:eastAsia="仿宋_GB2312" w:cs="仿宋_GB2312"/>
          <w:color w:val="auto"/>
          <w:highlight w:val="none"/>
        </w:rPr>
        <w:t>委托</w:t>
      </w:r>
      <w:r>
        <w:rPr>
          <w:rFonts w:hint="eastAsia" w:ascii="仿宋_GB2312" w:hAnsi="仿宋_GB2312" w:eastAsia="仿宋_GB2312" w:cs="仿宋_GB2312"/>
          <w:color w:val="auto"/>
          <w:szCs w:val="21"/>
          <w:highlight w:val="none"/>
        </w:rPr>
        <w:t>人（签字或盖章）：</w:t>
      </w:r>
      <w:r>
        <w:rPr>
          <w:rFonts w:hint="eastAsia" w:ascii="仿宋_GB2312" w:hAnsi="仿宋_GB2312" w:eastAsia="仿宋_GB2312" w:cs="仿宋_GB2312"/>
          <w:color w:val="auto"/>
          <w:szCs w:val="21"/>
          <w:highlight w:val="none"/>
          <w:u w:val="single"/>
        </w:rPr>
        <w:t xml:space="preserve">              </w:t>
      </w:r>
    </w:p>
    <w:p>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详细通讯地址：</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邮政编码 ：</w:t>
      </w:r>
      <w:r>
        <w:rPr>
          <w:rFonts w:hint="eastAsia" w:ascii="仿宋_GB2312" w:hAnsi="仿宋_GB2312" w:eastAsia="仿宋_GB2312" w:cs="仿宋_GB2312"/>
          <w:color w:val="auto"/>
          <w:szCs w:val="21"/>
          <w:highlight w:val="none"/>
          <w:u w:val="single"/>
        </w:rPr>
        <w:t xml:space="preserve">              </w:t>
      </w:r>
    </w:p>
    <w:p>
      <w:pPr>
        <w:spacing w:line="360" w:lineRule="auto"/>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传        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电     话：</w:t>
      </w:r>
      <w:r>
        <w:rPr>
          <w:rFonts w:hint="eastAsia" w:ascii="仿宋_GB2312" w:hAnsi="仿宋_GB2312" w:eastAsia="仿宋_GB2312" w:cs="仿宋_GB2312"/>
          <w:color w:val="auto"/>
          <w:szCs w:val="21"/>
          <w:highlight w:val="none"/>
          <w:u w:val="single"/>
        </w:rPr>
        <w:t xml:space="preserve">              </w:t>
      </w:r>
    </w:p>
    <w:p>
      <w:pPr>
        <w:spacing w:line="360" w:lineRule="auto"/>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日        期:</w:t>
      </w:r>
      <w:r>
        <w:rPr>
          <w:rFonts w:hint="eastAsia" w:ascii="仿宋_GB2312" w:hAnsi="仿宋_GB2312" w:eastAsia="仿宋_GB2312" w:cs="仿宋_GB2312"/>
          <w:color w:val="auto"/>
          <w:szCs w:val="21"/>
          <w:highlight w:val="none"/>
          <w:u w:val="single"/>
        </w:rPr>
        <w:t xml:space="preserve">                       </w:t>
      </w:r>
    </w:p>
    <w:p>
      <w:pPr>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br w:type="page"/>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格式6</w:t>
      </w:r>
    </w:p>
    <w:p>
      <w:pPr>
        <w:spacing w:before="319" w:beforeLines="100" w:after="319" w:afterLines="100" w:line="360" w:lineRule="auto"/>
        <w:ind w:right="-21" w:rightChars="-1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具有良好的商业信誉和健全的财务会计制度的承诺函</w:t>
      </w:r>
    </w:p>
    <w:p>
      <w:pPr>
        <w:spacing w:before="319" w:beforeLines="100" w:after="319" w:afterLines="100" w:line="480" w:lineRule="exact"/>
        <w:ind w:right="630" w:rightChars="300"/>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（格式自拟）</w:t>
      </w: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snapToGrid w:val="0"/>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snapToGrid w:val="0"/>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w:t>
      </w:r>
      <w:r>
        <w:rPr>
          <w:rFonts w:hint="eastAsia" w:ascii="仿宋_GB2312" w:hAnsi="仿宋_GB2312" w:eastAsia="仿宋_GB2312" w:cs="仿宋_GB2312"/>
          <w:color w:val="auto"/>
          <w:szCs w:val="21"/>
          <w:highlight w:val="none"/>
        </w:rPr>
        <w:t>授权</w:t>
      </w:r>
      <w:r>
        <w:rPr>
          <w:rFonts w:hint="eastAsia" w:ascii="仿宋_GB2312" w:hAnsi="仿宋_GB2312" w:eastAsia="仿宋_GB2312" w:cs="仿宋_GB2312"/>
          <w:color w:val="auto"/>
          <w:highlight w:val="none"/>
        </w:rPr>
        <w:t>委托</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highlight w:val="none"/>
        </w:rPr>
        <w:t>(签字或盖章)：</w:t>
      </w:r>
      <w:r>
        <w:rPr>
          <w:rFonts w:hint="eastAsia" w:ascii="仿宋_GB2312" w:hAnsi="仿宋_GB2312" w:eastAsia="仿宋_GB2312" w:cs="仿宋_GB2312"/>
          <w:color w:val="auto"/>
          <w:highlight w:val="none"/>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highlight w:val="none"/>
          <w:u w:val="single"/>
        </w:rPr>
      </w:pPr>
    </w:p>
    <w:p>
      <w:pPr>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br w:type="page"/>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格式7</w:t>
      </w:r>
    </w:p>
    <w:p>
      <w:pPr>
        <w:spacing w:before="319" w:beforeLines="100" w:after="319" w:afterLines="100" w:line="360" w:lineRule="auto"/>
        <w:ind w:right="-21" w:rightChars="-10"/>
        <w:jc w:val="center"/>
        <w:rPr>
          <w:rFonts w:ascii="仿宋_GB2312" w:hAnsi="仿宋_GB2312" w:eastAsia="仿宋_GB2312" w:cs="仿宋_GB2312"/>
          <w:b/>
          <w:color w:val="auto"/>
          <w:sz w:val="32"/>
          <w:szCs w:val="32"/>
          <w:highlight w:val="none"/>
        </w:rPr>
      </w:pPr>
      <w:bookmarkStart w:id="98" w:name="_Toc23728_WPSOffice_Level2"/>
      <w:bookmarkStart w:id="99" w:name="_Toc12037_WPSOffice_Level2"/>
      <w:r>
        <w:rPr>
          <w:rFonts w:hint="eastAsia" w:ascii="仿宋_GB2312" w:hAnsi="仿宋_GB2312" w:eastAsia="仿宋_GB2312" w:cs="仿宋_GB2312"/>
          <w:b/>
          <w:color w:val="auto"/>
          <w:sz w:val="32"/>
          <w:szCs w:val="32"/>
          <w:highlight w:val="none"/>
        </w:rPr>
        <w:t>具备履行合同所必需的设备和专业技术能力声明函</w:t>
      </w:r>
      <w:bookmarkEnd w:id="98"/>
      <w:bookmarkEnd w:id="99"/>
    </w:p>
    <w:p>
      <w:pPr>
        <w:spacing w:before="319" w:beforeLines="100" w:after="319" w:afterLines="100" w:line="480" w:lineRule="exact"/>
        <w:ind w:right="630" w:rightChars="300"/>
        <w:jc w:val="center"/>
        <w:rPr>
          <w:rFonts w:ascii="仿宋_GB2312" w:hAnsi="仿宋_GB2312" w:eastAsia="仿宋_GB2312" w:cs="仿宋_GB2312"/>
          <w:color w:val="auto"/>
          <w:sz w:val="28"/>
          <w:szCs w:val="28"/>
          <w:highlight w:val="none"/>
        </w:rPr>
      </w:pPr>
      <w:bookmarkStart w:id="100" w:name="_Toc1917_WPSOffice_Level2"/>
      <w:bookmarkStart w:id="101" w:name="_Toc28831_WPSOffice_Level2"/>
      <w:r>
        <w:rPr>
          <w:rFonts w:hint="eastAsia" w:ascii="仿宋_GB2312" w:hAnsi="仿宋_GB2312" w:eastAsia="仿宋_GB2312" w:cs="仿宋_GB2312"/>
          <w:color w:val="auto"/>
          <w:sz w:val="28"/>
          <w:szCs w:val="28"/>
          <w:highlight w:val="none"/>
        </w:rPr>
        <w:t>（格式自拟）</w:t>
      </w:r>
      <w:bookmarkEnd w:id="100"/>
      <w:bookmarkEnd w:id="101"/>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snapToGrid w:val="0"/>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snapToGrid w:val="0"/>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w:t>
      </w:r>
      <w:r>
        <w:rPr>
          <w:rFonts w:hint="eastAsia" w:ascii="仿宋_GB2312" w:hAnsi="仿宋_GB2312" w:eastAsia="仿宋_GB2312" w:cs="仿宋_GB2312"/>
          <w:color w:val="auto"/>
          <w:szCs w:val="21"/>
          <w:highlight w:val="none"/>
        </w:rPr>
        <w:t>授权</w:t>
      </w:r>
      <w:r>
        <w:rPr>
          <w:rFonts w:hint="eastAsia" w:ascii="仿宋_GB2312" w:hAnsi="仿宋_GB2312" w:eastAsia="仿宋_GB2312" w:cs="仿宋_GB2312"/>
          <w:color w:val="auto"/>
          <w:highlight w:val="none"/>
        </w:rPr>
        <w:t>委托</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highlight w:val="none"/>
        </w:rPr>
        <w:t>(签字或盖章)：</w:t>
      </w:r>
      <w:r>
        <w:rPr>
          <w:rFonts w:hint="eastAsia" w:ascii="仿宋_GB2312" w:hAnsi="仿宋_GB2312" w:eastAsia="仿宋_GB2312" w:cs="仿宋_GB2312"/>
          <w:color w:val="auto"/>
          <w:highlight w:val="none"/>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highlight w:val="none"/>
          <w:u w:val="single"/>
        </w:rPr>
      </w:pPr>
    </w:p>
    <w:p>
      <w:pPr>
        <w:adjustRightInd w:val="0"/>
        <w:snapToGrid w:val="0"/>
        <w:spacing w:line="360" w:lineRule="auto"/>
        <w:ind w:right="105" w:rightChars="50"/>
        <w:jc w:val="left"/>
        <w:rPr>
          <w:rFonts w:ascii="仿宋_GB2312" w:hAnsi="仿宋_GB2312" w:eastAsia="仿宋_GB2312" w:cs="仿宋_GB2312"/>
          <w:b/>
          <w:color w:val="auto"/>
          <w:sz w:val="28"/>
          <w:szCs w:val="28"/>
          <w:highlight w:val="none"/>
        </w:rPr>
      </w:pPr>
    </w:p>
    <w:p>
      <w:pPr>
        <w:widowControl/>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Cs w:val="28"/>
          <w:highlight w:val="none"/>
        </w:rPr>
        <w:br w:type="page"/>
      </w:r>
    </w:p>
    <w:p>
      <w:pPr>
        <w:pStyle w:val="5"/>
        <w:adjustRightInd w:val="0"/>
        <w:snapToGrid w:val="0"/>
        <w:spacing w:before="0" w:after="0" w:line="240" w:lineRule="auto"/>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szCs w:val="28"/>
          <w:highlight w:val="none"/>
        </w:rPr>
        <w:t>格式8</w:t>
      </w:r>
    </w:p>
    <w:p>
      <w:pPr>
        <w:spacing w:before="319" w:beforeLines="100" w:after="319" w:afterLines="100" w:line="360" w:lineRule="auto"/>
        <w:ind w:right="-21" w:rightChars="-1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 xml:space="preserve">   </w:t>
      </w:r>
      <w:bookmarkStart w:id="102" w:name="_Toc11967_WPSOffice_Level2"/>
      <w:bookmarkStart w:id="103" w:name="_Toc7498_WPSOffice_Level2"/>
      <w:r>
        <w:rPr>
          <w:rFonts w:hint="eastAsia" w:ascii="仿宋_GB2312" w:hAnsi="仿宋_GB2312" w:eastAsia="仿宋_GB2312" w:cs="仿宋_GB2312"/>
          <w:b/>
          <w:color w:val="auto"/>
          <w:sz w:val="32"/>
          <w:szCs w:val="32"/>
          <w:highlight w:val="none"/>
        </w:rPr>
        <w:t>参加政府采购活动前3年内在经营活动中没有重大违法记录的书面声明</w:t>
      </w:r>
      <w:bookmarkEnd w:id="102"/>
      <w:bookmarkEnd w:id="103"/>
    </w:p>
    <w:p>
      <w:pPr>
        <w:spacing w:line="360" w:lineRule="auto"/>
        <w:ind w:right="630" w:rightChars="30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u w:val="single"/>
        </w:rPr>
        <w:t xml:space="preserve">（采购人或采购代理机构名称） </w:t>
      </w:r>
      <w:r>
        <w:rPr>
          <w:rFonts w:hint="eastAsia" w:ascii="仿宋_GB2312" w:hAnsi="仿宋_GB2312" w:eastAsia="仿宋_GB2312" w:cs="仿宋_GB2312"/>
          <w:b/>
          <w:color w:val="auto"/>
          <w:szCs w:val="21"/>
          <w:highlight w:val="none"/>
        </w:rPr>
        <w:t xml:space="preserve"> ：</w:t>
      </w:r>
    </w:p>
    <w:p>
      <w:pPr>
        <w:spacing w:line="360" w:lineRule="auto"/>
        <w:ind w:right="-21" w:rightChars="-10" w:firstLine="493" w:firstLineChars="235"/>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pPr>
        <w:tabs>
          <w:tab w:val="left" w:pos="10065"/>
        </w:tabs>
        <w:spacing w:line="360" w:lineRule="auto"/>
        <w:ind w:right="-21" w:rightChars="-10" w:firstLine="371" w:firstLineChars="177"/>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如发现我单位提供的声明函不实时，我单位将按照《政府采购法》有关提供虚假材料的规定，接受处罚。</w:t>
      </w:r>
    </w:p>
    <w:p>
      <w:pPr>
        <w:spacing w:line="360" w:lineRule="auto"/>
        <w:ind w:right="1050" w:rightChars="500"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特此声明。</w:t>
      </w:r>
    </w:p>
    <w:p>
      <w:pPr>
        <w:spacing w:line="500" w:lineRule="exact"/>
        <w:ind w:right="1050" w:rightChars="500"/>
        <w:rPr>
          <w:rFonts w:ascii="仿宋_GB2312" w:hAnsi="仿宋_GB2312" w:eastAsia="仿宋_GB2312" w:cs="仿宋_GB2312"/>
          <w:color w:val="auto"/>
          <w:szCs w:val="21"/>
          <w:highlight w:val="none"/>
        </w:rPr>
      </w:pPr>
    </w:p>
    <w:p>
      <w:pPr>
        <w:spacing w:before="159" w:beforeLines="50" w:after="159" w:afterLines="50" w:line="400" w:lineRule="exact"/>
        <w:ind w:right="1050" w:rightChars="500"/>
        <w:rPr>
          <w:rFonts w:ascii="仿宋_GB2312" w:hAnsi="仿宋_GB2312" w:eastAsia="仿宋_GB2312" w:cs="仿宋_GB2312"/>
          <w:color w:val="auto"/>
          <w:szCs w:val="21"/>
          <w:highlight w:val="none"/>
        </w:rPr>
      </w:pPr>
    </w:p>
    <w:p>
      <w:pPr>
        <w:spacing w:before="159" w:beforeLines="50" w:after="159" w:afterLines="50" w:line="400" w:lineRule="exact"/>
        <w:ind w:right="1050" w:rightChars="500"/>
        <w:rPr>
          <w:rFonts w:ascii="仿宋_GB2312" w:hAnsi="仿宋_GB2312" w:eastAsia="仿宋_GB2312" w:cs="仿宋_GB2312"/>
          <w:color w:val="auto"/>
          <w:szCs w:val="21"/>
          <w:highlight w:val="none"/>
        </w:rPr>
      </w:pPr>
    </w:p>
    <w:p>
      <w:pPr>
        <w:spacing w:before="159" w:beforeLines="50" w:after="159" w:afterLines="50" w:line="400" w:lineRule="exact"/>
        <w:ind w:right="1050" w:rightChars="500"/>
        <w:rPr>
          <w:rFonts w:ascii="仿宋_GB2312" w:hAnsi="仿宋_GB2312" w:eastAsia="仿宋_GB2312" w:cs="仿宋_GB2312"/>
          <w:color w:val="auto"/>
          <w:szCs w:val="21"/>
          <w:highlight w:val="none"/>
        </w:rPr>
      </w:pPr>
    </w:p>
    <w:p>
      <w:pPr>
        <w:spacing w:line="360" w:lineRule="exact"/>
        <w:ind w:right="1050" w:rightChars="500"/>
        <w:rPr>
          <w:rFonts w:ascii="仿宋_GB2312" w:hAnsi="仿宋_GB2312" w:eastAsia="仿宋_GB2312" w:cs="仿宋_GB2312"/>
          <w:color w:val="auto"/>
          <w:szCs w:val="21"/>
          <w:highlight w:val="none"/>
        </w:rPr>
      </w:pP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w:t>
      </w:r>
      <w:r>
        <w:rPr>
          <w:rFonts w:hint="eastAsia" w:ascii="仿宋_GB2312" w:hAnsi="仿宋_GB2312" w:eastAsia="仿宋_GB2312" w:cs="仿宋_GB2312"/>
          <w:color w:val="auto"/>
          <w:szCs w:val="21"/>
          <w:highlight w:val="none"/>
        </w:rPr>
        <w:t>授权</w:t>
      </w:r>
      <w:r>
        <w:rPr>
          <w:rFonts w:hint="eastAsia" w:ascii="仿宋_GB2312" w:hAnsi="仿宋_GB2312" w:eastAsia="仿宋_GB2312" w:cs="仿宋_GB2312"/>
          <w:color w:val="auto"/>
          <w:highlight w:val="none"/>
        </w:rPr>
        <w:t>委托</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highlight w:val="none"/>
        </w:rPr>
        <w:t>(签字或盖章)：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br w:type="page"/>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格式9</w:t>
      </w:r>
    </w:p>
    <w:p>
      <w:pPr>
        <w:spacing w:before="319" w:beforeLines="100" w:after="319" w:afterLines="100" w:line="360" w:lineRule="auto"/>
        <w:ind w:right="-21" w:rightChars="-10"/>
        <w:jc w:val="center"/>
        <w:rPr>
          <w:rFonts w:ascii="仿宋_GB2312" w:hAnsi="仿宋_GB2312" w:eastAsia="仿宋_GB2312" w:cs="仿宋_GB2312"/>
          <w:b/>
          <w:color w:val="auto"/>
          <w:sz w:val="32"/>
          <w:szCs w:val="32"/>
          <w:highlight w:val="none"/>
        </w:rPr>
      </w:pPr>
      <w:bookmarkStart w:id="104" w:name="_Toc14782_WPSOffice_Level2"/>
      <w:bookmarkStart w:id="105" w:name="_Toc24841_WPSOffice_Level2"/>
      <w:r>
        <w:rPr>
          <w:rFonts w:hint="eastAsia" w:ascii="仿宋_GB2312" w:hAnsi="仿宋_GB2312" w:eastAsia="仿宋_GB2312" w:cs="仿宋_GB2312"/>
          <w:b/>
          <w:color w:val="auto"/>
          <w:sz w:val="32"/>
          <w:szCs w:val="32"/>
          <w:highlight w:val="none"/>
        </w:rPr>
        <w:t>投标函</w:t>
      </w:r>
      <w:bookmarkEnd w:id="104"/>
      <w:bookmarkEnd w:id="105"/>
    </w:p>
    <w:p>
      <w:pPr>
        <w:adjustRightInd w:val="0"/>
        <w:snapToGrid w:val="0"/>
        <w:spacing w:line="360" w:lineRule="auto"/>
        <w:ind w:right="630" w:rightChars="30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 xml:space="preserve"> </w:t>
      </w:r>
      <w:r>
        <w:rPr>
          <w:rFonts w:hint="eastAsia" w:ascii="仿宋_GB2312" w:hAnsi="仿宋_GB2312" w:eastAsia="仿宋_GB2312" w:cs="仿宋_GB2312"/>
          <w:color w:val="auto"/>
          <w:szCs w:val="21"/>
          <w:highlight w:val="none"/>
          <w:u w:val="single"/>
        </w:rPr>
        <w:t>（采购人或采购代理机构）：</w:t>
      </w:r>
    </w:p>
    <w:p>
      <w:pPr>
        <w:adjustRightInd w:val="0"/>
        <w:snapToGrid w:val="0"/>
        <w:spacing w:line="360" w:lineRule="auto"/>
        <w:ind w:right="-21" w:rightChars="-1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根据贵方</w:t>
      </w:r>
      <w:r>
        <w:rPr>
          <w:rFonts w:hint="eastAsia" w:ascii="仿宋_GB2312" w:hAnsi="仿宋_GB2312" w:eastAsia="仿宋_GB2312" w:cs="仿宋_GB2312"/>
          <w:color w:val="auto"/>
          <w:szCs w:val="21"/>
          <w:highlight w:val="none"/>
          <w:u w:val="single"/>
        </w:rPr>
        <w:t>(项目名称)</w:t>
      </w:r>
      <w:r>
        <w:rPr>
          <w:rFonts w:hint="eastAsia" w:ascii="仿宋_GB2312" w:hAnsi="仿宋_GB2312" w:eastAsia="仿宋_GB2312" w:cs="仿宋_GB2312"/>
          <w:color w:val="auto"/>
          <w:szCs w:val="21"/>
          <w:highlight w:val="none"/>
        </w:rPr>
        <w:t>项目的招标公告</w:t>
      </w:r>
      <w:r>
        <w:rPr>
          <w:rFonts w:hint="eastAsia" w:ascii="仿宋_GB2312" w:hAnsi="仿宋_GB2312" w:eastAsia="仿宋_GB2312" w:cs="仿宋_GB2312"/>
          <w:color w:val="auto"/>
          <w:szCs w:val="21"/>
          <w:highlight w:val="none"/>
          <w:u w:val="single"/>
        </w:rPr>
        <w:t>(招标编号)</w:t>
      </w:r>
      <w:r>
        <w:rPr>
          <w:rFonts w:hint="eastAsia" w:ascii="仿宋_GB2312" w:hAnsi="仿宋_GB2312" w:eastAsia="仿宋_GB2312" w:cs="仿宋_GB2312"/>
          <w:color w:val="auto"/>
          <w:szCs w:val="21"/>
          <w:highlight w:val="none"/>
        </w:rPr>
        <w:t>,签字代表</w:t>
      </w:r>
      <w:r>
        <w:rPr>
          <w:rFonts w:hint="eastAsia" w:ascii="仿宋_GB2312" w:hAnsi="仿宋_GB2312" w:eastAsia="仿宋_GB2312" w:cs="仿宋_GB2312"/>
          <w:color w:val="auto"/>
          <w:szCs w:val="21"/>
          <w:highlight w:val="none"/>
          <w:u w:val="single"/>
        </w:rPr>
        <w:t>(姓名、职务)</w:t>
      </w:r>
      <w:r>
        <w:rPr>
          <w:rFonts w:hint="eastAsia" w:ascii="仿宋_GB2312" w:hAnsi="仿宋_GB2312" w:eastAsia="仿宋_GB2312" w:cs="仿宋_GB2312"/>
          <w:color w:val="auto"/>
          <w:szCs w:val="21"/>
          <w:highlight w:val="none"/>
        </w:rPr>
        <w:t>经正式授权并代表投标人</w:t>
      </w:r>
      <w:r>
        <w:rPr>
          <w:rFonts w:hint="eastAsia" w:ascii="仿宋_GB2312" w:hAnsi="仿宋_GB2312" w:eastAsia="仿宋_GB2312" w:cs="仿宋_GB2312"/>
          <w:color w:val="auto"/>
          <w:szCs w:val="21"/>
          <w:highlight w:val="none"/>
          <w:u w:val="single"/>
        </w:rPr>
        <w:t>（名称、地址）</w:t>
      </w:r>
      <w:r>
        <w:rPr>
          <w:rFonts w:hint="eastAsia" w:ascii="仿宋_GB2312" w:hAnsi="仿宋_GB2312" w:eastAsia="仿宋_GB2312" w:cs="仿宋_GB2312"/>
          <w:color w:val="auto"/>
          <w:szCs w:val="21"/>
          <w:highlight w:val="none"/>
        </w:rPr>
        <w:t>提交辽宁政府采购网电子评审系统上传的电子文件</w:t>
      </w:r>
      <w:r>
        <w:rPr>
          <w:rFonts w:hint="eastAsia" w:ascii="仿宋_GB2312" w:hAnsi="仿宋_GB2312" w:eastAsia="仿宋_GB2312" w:cs="仿宋_GB2312"/>
          <w:color w:val="auto"/>
          <w:szCs w:val="21"/>
          <w:highlight w:val="none"/>
          <w:u w:val="single"/>
        </w:rPr>
        <w:t xml:space="preserve"> 1 </w:t>
      </w:r>
      <w:r>
        <w:rPr>
          <w:rFonts w:hint="eastAsia" w:ascii="仿宋_GB2312" w:hAnsi="仿宋_GB2312" w:eastAsia="仿宋_GB2312" w:cs="仿宋_GB2312"/>
          <w:color w:val="auto"/>
          <w:szCs w:val="21"/>
          <w:highlight w:val="none"/>
        </w:rPr>
        <w:t>份，现场密封递交与上传电子文件内容及格式相一致的可加密备份文件（U盘）</w:t>
      </w:r>
      <w:r>
        <w:rPr>
          <w:rFonts w:hint="eastAsia" w:ascii="仿宋_GB2312" w:hAnsi="仿宋_GB2312" w:eastAsia="仿宋_GB2312" w:cs="仿宋_GB2312"/>
          <w:color w:val="auto"/>
          <w:szCs w:val="21"/>
          <w:highlight w:val="none"/>
          <w:u w:val="single"/>
        </w:rPr>
        <w:t xml:space="preserve"> 1 </w:t>
      </w:r>
      <w:r>
        <w:rPr>
          <w:rFonts w:hint="eastAsia" w:ascii="仿宋_GB2312" w:hAnsi="仿宋_GB2312" w:eastAsia="仿宋_GB2312" w:cs="仿宋_GB2312"/>
          <w:color w:val="auto"/>
          <w:szCs w:val="21"/>
          <w:highlight w:val="none"/>
        </w:rPr>
        <w:t>份，并以</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形式出具的金额为</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人民币元的投标保证金。</w:t>
      </w:r>
    </w:p>
    <w:p>
      <w:pPr>
        <w:adjustRightInd w:val="0"/>
        <w:snapToGrid w:val="0"/>
        <w:spacing w:line="360" w:lineRule="auto"/>
        <w:ind w:right="-21" w:rightChars="-10"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据此，签字代表宣布同意如下：</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本项目投标总价详见开标一览表。</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本投标有效期为自递交投标文件截止之日起</w:t>
      </w:r>
      <w:r>
        <w:rPr>
          <w:rFonts w:hint="eastAsia" w:ascii="仿宋_GB2312" w:hAnsi="仿宋_GB2312" w:eastAsia="仿宋_GB2312" w:cs="仿宋_GB2312"/>
          <w:color w:val="auto"/>
          <w:szCs w:val="21"/>
          <w:highlight w:val="none"/>
          <w:u w:val="single"/>
        </w:rPr>
        <w:t>90</w:t>
      </w:r>
      <w:r>
        <w:rPr>
          <w:rFonts w:hint="eastAsia" w:ascii="仿宋_GB2312" w:hAnsi="仿宋_GB2312" w:eastAsia="仿宋_GB2312" w:cs="仿宋_GB2312"/>
          <w:color w:val="auto"/>
          <w:szCs w:val="21"/>
          <w:highlight w:val="none"/>
        </w:rPr>
        <w:t>日历日。</w:t>
      </w:r>
    </w:p>
    <w:p>
      <w:pPr>
        <w:adjustRightInd w:val="0"/>
        <w:snapToGrid w:val="0"/>
        <w:spacing w:line="360" w:lineRule="auto"/>
        <w:ind w:right="-21" w:rightChars="-10"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（3）已详细审查全部招标文件，包括所有补充通知（如果有的话）。</w:t>
      </w:r>
    </w:p>
    <w:p>
      <w:pPr>
        <w:adjustRightInd w:val="0"/>
        <w:snapToGrid w:val="0"/>
        <w:spacing w:line="360" w:lineRule="auto"/>
        <w:ind w:right="-21" w:rightChars="-10"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（4）在规定的开标时间后，遵守招标文件中有关保证金的规定。</w:t>
      </w:r>
    </w:p>
    <w:p>
      <w:pPr>
        <w:adjustRightInd w:val="0"/>
        <w:snapToGrid w:val="0"/>
        <w:spacing w:line="360" w:lineRule="auto"/>
        <w:ind w:right="-21" w:rightChars="-10"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（5）我方不是为本项目提供整体设计、规范编制或者项目管理、监理、检测等服务的供应商，我方不是采购代理机构的附属机构。</w:t>
      </w:r>
    </w:p>
    <w:p>
      <w:pPr>
        <w:adjustRightInd w:val="0"/>
        <w:snapToGrid w:val="0"/>
        <w:spacing w:line="360" w:lineRule="auto"/>
        <w:ind w:right="-21" w:rightChars="-10"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（6）在领取中标通知书的同时按招标文件规定的形式，向采购代理机构一次性支付采购代理服务费（适用于中标人支付采购代理服务费情形）。</w:t>
      </w:r>
    </w:p>
    <w:p>
      <w:pPr>
        <w:adjustRightInd w:val="0"/>
        <w:snapToGrid w:val="0"/>
        <w:spacing w:line="360" w:lineRule="auto"/>
        <w:ind w:right="-21" w:rightChars="-10"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（7）按照贵方可能要求，提供与其投标有关的一切数据或资料，完全理解贵方不一定接受最低价的投标或收到的任何投标。</w:t>
      </w:r>
    </w:p>
    <w:p>
      <w:pPr>
        <w:adjustRightInd w:val="0"/>
        <w:snapToGrid w:val="0"/>
        <w:spacing w:line="360" w:lineRule="auto"/>
        <w:ind w:right="-21" w:rightChars="-10"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（8）按照招标文件的规定履行合同责任和义务。</w:t>
      </w:r>
    </w:p>
    <w:p>
      <w:pPr>
        <w:adjustRightInd w:val="0"/>
        <w:snapToGrid w:val="0"/>
        <w:spacing w:line="360" w:lineRule="auto"/>
        <w:ind w:right="-21" w:rightChars="-10"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（9）我方承诺投标文件中的证明材料真实、合法、有效。</w:t>
      </w:r>
    </w:p>
    <w:p>
      <w:pPr>
        <w:adjustRightInd w:val="0"/>
        <w:snapToGrid w:val="0"/>
        <w:spacing w:line="360" w:lineRule="auto"/>
        <w:ind w:right="-21" w:rightChars="-10"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其他事项：</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w:t>
      </w:r>
    </w:p>
    <w:p>
      <w:pPr>
        <w:adjustRightInd w:val="0"/>
        <w:snapToGrid w:val="0"/>
        <w:spacing w:line="360" w:lineRule="auto"/>
        <w:ind w:right="-21" w:rightChars="-10"/>
        <w:rPr>
          <w:rFonts w:ascii="仿宋_GB2312" w:hAnsi="仿宋_GB2312" w:eastAsia="仿宋_GB2312" w:cs="仿宋_GB2312"/>
          <w:color w:val="auto"/>
          <w:szCs w:val="21"/>
          <w:highlight w:val="none"/>
        </w:rPr>
      </w:pPr>
    </w:p>
    <w:p>
      <w:pPr>
        <w:adjustRightInd w:val="0"/>
        <w:snapToGrid w:val="0"/>
        <w:spacing w:line="360" w:lineRule="auto"/>
        <w:ind w:right="-21" w:rightChars="-10"/>
        <w:rPr>
          <w:rFonts w:ascii="仿宋_GB2312" w:hAnsi="仿宋_GB2312" w:eastAsia="仿宋_GB2312" w:cs="仿宋_GB2312"/>
          <w:color w:val="auto"/>
          <w:szCs w:val="21"/>
          <w:highlight w:val="none"/>
        </w:rPr>
      </w:pPr>
    </w:p>
    <w:p>
      <w:pPr>
        <w:adjustRightInd w:val="0"/>
        <w:snapToGrid w:val="0"/>
        <w:spacing w:line="360" w:lineRule="auto"/>
        <w:ind w:right="-21" w:rightChars="-1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与本项目有关的一切往来通讯请寄</w:t>
      </w:r>
    </w:p>
    <w:p>
      <w:pPr>
        <w:adjustRightInd w:val="0"/>
        <w:snapToGrid w:val="0"/>
        <w:spacing w:line="360" w:lineRule="auto"/>
        <w:ind w:right="-21" w:rightChars="-1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地址：</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传真：</w:t>
      </w:r>
      <w:r>
        <w:rPr>
          <w:rFonts w:hint="eastAsia" w:ascii="仿宋_GB2312" w:hAnsi="仿宋_GB2312" w:eastAsia="仿宋_GB2312" w:cs="仿宋_GB2312"/>
          <w:color w:val="auto"/>
          <w:szCs w:val="21"/>
          <w:highlight w:val="none"/>
          <w:u w:val="single"/>
        </w:rPr>
        <w:t xml:space="preserve">                         </w:t>
      </w:r>
    </w:p>
    <w:p>
      <w:pPr>
        <w:adjustRightInd w:val="0"/>
        <w:snapToGrid w:val="0"/>
        <w:spacing w:line="360" w:lineRule="auto"/>
        <w:ind w:right="-21" w:rightChars="-1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电话：</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 xml:space="preserve">         电子邮件：</w:t>
      </w:r>
      <w:r>
        <w:rPr>
          <w:rFonts w:hint="eastAsia" w:ascii="仿宋_GB2312" w:hAnsi="仿宋_GB2312" w:eastAsia="仿宋_GB2312" w:cs="仿宋_GB2312"/>
          <w:color w:val="auto"/>
          <w:szCs w:val="21"/>
          <w:highlight w:val="none"/>
          <w:u w:val="single"/>
        </w:rPr>
        <w:t xml:space="preserve">                     </w:t>
      </w:r>
    </w:p>
    <w:p>
      <w:pPr>
        <w:adjustRightInd w:val="0"/>
        <w:snapToGrid w:val="0"/>
        <w:spacing w:line="360" w:lineRule="auto"/>
        <w:ind w:right="-21" w:rightChars="-10"/>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法定代表人（非法人组织负责人）或其授权委托人（签字或盖章）：</w:t>
      </w:r>
      <w:r>
        <w:rPr>
          <w:rFonts w:hint="eastAsia" w:ascii="仿宋_GB2312" w:hAnsi="仿宋_GB2312" w:eastAsia="仿宋_GB2312" w:cs="仿宋_GB2312"/>
          <w:color w:val="auto"/>
          <w:szCs w:val="21"/>
          <w:highlight w:val="none"/>
          <w:u w:val="single"/>
        </w:rPr>
        <w:t xml:space="preserve">       </w:t>
      </w:r>
    </w:p>
    <w:p>
      <w:pPr>
        <w:adjustRightInd w:val="0"/>
        <w:snapToGrid w:val="0"/>
        <w:spacing w:line="360" w:lineRule="auto"/>
        <w:ind w:right="-21" w:rightChars="-1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投标人名称（加盖单位公章）：</w:t>
      </w:r>
      <w:r>
        <w:rPr>
          <w:rFonts w:hint="eastAsia" w:ascii="仿宋_GB2312" w:hAnsi="仿宋_GB2312" w:eastAsia="仿宋_GB2312" w:cs="仿宋_GB2312"/>
          <w:color w:val="auto"/>
          <w:szCs w:val="21"/>
          <w:highlight w:val="none"/>
          <w:u w:val="single"/>
        </w:rPr>
        <w:t xml:space="preserve">         </w:t>
      </w:r>
    </w:p>
    <w:p>
      <w:pPr>
        <w:adjustRightInd w:val="0"/>
        <w:snapToGrid w:val="0"/>
        <w:spacing w:line="360" w:lineRule="auto"/>
        <w:ind w:right="-21" w:rightChars="-1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投标人开户银行（全称）：</w:t>
      </w:r>
      <w:r>
        <w:rPr>
          <w:rFonts w:hint="eastAsia" w:ascii="仿宋_GB2312" w:hAnsi="仿宋_GB2312" w:eastAsia="仿宋_GB2312" w:cs="仿宋_GB2312"/>
          <w:color w:val="auto"/>
          <w:szCs w:val="21"/>
          <w:highlight w:val="none"/>
          <w:u w:val="single"/>
        </w:rPr>
        <w:t xml:space="preserve">             </w:t>
      </w:r>
    </w:p>
    <w:p>
      <w:pPr>
        <w:adjustRightInd w:val="0"/>
        <w:snapToGrid w:val="0"/>
        <w:spacing w:line="360" w:lineRule="auto"/>
        <w:ind w:right="-21" w:rightChars="-1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投标人银行账号：</w:t>
      </w:r>
      <w:r>
        <w:rPr>
          <w:rFonts w:hint="eastAsia" w:ascii="仿宋_GB2312" w:hAnsi="仿宋_GB2312" w:eastAsia="仿宋_GB2312" w:cs="仿宋_GB2312"/>
          <w:color w:val="auto"/>
          <w:szCs w:val="21"/>
          <w:highlight w:val="none"/>
          <w:u w:val="single"/>
        </w:rPr>
        <w:t xml:space="preserve">                     </w:t>
      </w:r>
    </w:p>
    <w:p>
      <w:pPr>
        <w:adjustRightInd w:val="0"/>
        <w:snapToGrid w:val="0"/>
        <w:spacing w:line="360" w:lineRule="auto"/>
        <w:ind w:right="1050" w:rightChars="500"/>
        <w:jc w:val="left"/>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日    期：</w:t>
      </w:r>
      <w:r>
        <w:rPr>
          <w:rFonts w:hint="eastAsia" w:ascii="仿宋_GB2312" w:hAnsi="仿宋_GB2312" w:eastAsia="仿宋_GB2312" w:cs="仿宋_GB2312"/>
          <w:color w:val="auto"/>
          <w:szCs w:val="21"/>
          <w:highlight w:val="none"/>
          <w:u w:val="single"/>
        </w:rPr>
        <w:t xml:space="preserve">                           </w:t>
      </w:r>
    </w:p>
    <w:p>
      <w:pPr>
        <w:adjustRightInd w:val="0"/>
        <w:snapToGrid w:val="0"/>
        <w:spacing w:line="360" w:lineRule="auto"/>
        <w:ind w:right="1050" w:rightChars="500"/>
        <w:jc w:val="left"/>
        <w:rPr>
          <w:rFonts w:ascii="仿宋_GB2312" w:hAnsi="仿宋_GB2312" w:eastAsia="仿宋_GB2312" w:cs="仿宋_GB2312"/>
          <w:color w:val="auto"/>
          <w:szCs w:val="21"/>
          <w:highlight w:val="none"/>
          <w:u w:val="single"/>
        </w:rPr>
      </w:pP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格式10</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color w:val="auto"/>
          <w:sz w:val="32"/>
          <w:szCs w:val="32"/>
          <w:highlight w:val="none"/>
        </w:rPr>
      </w:pPr>
      <w:bookmarkStart w:id="106" w:name="_Toc2673_WPSOffice_Level2"/>
      <w:bookmarkStart w:id="107" w:name="_Toc11267_WPSOffice_Level2"/>
      <w:r>
        <w:rPr>
          <w:rFonts w:hint="eastAsia" w:ascii="仿宋_GB2312" w:hAnsi="仿宋_GB2312" w:eastAsia="仿宋_GB2312" w:cs="仿宋_GB2312"/>
          <w:b/>
          <w:bCs/>
          <w:color w:val="auto"/>
          <w:sz w:val="32"/>
          <w:szCs w:val="32"/>
          <w:highlight w:val="none"/>
        </w:rPr>
        <w:t>开标一览表</w:t>
      </w:r>
      <w:bookmarkEnd w:id="106"/>
      <w:bookmarkEnd w:id="107"/>
    </w:p>
    <w:p>
      <w:pPr>
        <w:adjustRightInd w:val="0"/>
        <w:snapToGrid w:val="0"/>
        <w:spacing w:line="360" w:lineRule="auto"/>
        <w:ind w:right="105" w:rightChars="50" w:firstLine="420" w:firstLineChars="200"/>
        <w:jc w:val="left"/>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包号：                                                      报价单位：元</w:t>
      </w:r>
    </w:p>
    <w:tbl>
      <w:tblPr>
        <w:tblStyle w:val="18"/>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373"/>
        <w:gridCol w:w="1309"/>
        <w:gridCol w:w="1109"/>
        <w:gridCol w:w="125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包名称</w:t>
            </w:r>
          </w:p>
        </w:tc>
        <w:tc>
          <w:tcPr>
            <w:tcW w:w="2373" w:type="dxa"/>
            <w:vAlign w:val="center"/>
          </w:tcPr>
          <w:p>
            <w:pPr>
              <w:adjustRightInd w:val="0"/>
              <w:snapToGrid w:val="0"/>
              <w:ind w:left="-54" w:leftChars="-26" w:right="-46" w:rightChars="-22"/>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投标总价</w:t>
            </w:r>
          </w:p>
        </w:tc>
        <w:tc>
          <w:tcPr>
            <w:tcW w:w="1309" w:type="dxa"/>
            <w:vAlign w:val="center"/>
          </w:tcPr>
          <w:p>
            <w:pPr>
              <w:adjustRightInd w:val="0"/>
              <w:snapToGrid w:val="0"/>
              <w:ind w:left="-54" w:leftChars="-26" w:right="-46" w:rightChars="-22"/>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投标保证金</w:t>
            </w:r>
          </w:p>
        </w:tc>
        <w:tc>
          <w:tcPr>
            <w:tcW w:w="1109" w:type="dxa"/>
            <w:vAlign w:val="center"/>
          </w:tcPr>
          <w:p>
            <w:pPr>
              <w:adjustRightInd w:val="0"/>
              <w:snapToGrid w:val="0"/>
              <w:ind w:left="-54" w:leftChars="-26" w:right="-46" w:rightChars="-22"/>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交货时间</w:t>
            </w:r>
          </w:p>
        </w:tc>
        <w:tc>
          <w:tcPr>
            <w:tcW w:w="1252" w:type="dxa"/>
            <w:vAlign w:val="center"/>
          </w:tcPr>
          <w:p>
            <w:pPr>
              <w:adjustRightInd w:val="0"/>
              <w:snapToGrid w:val="0"/>
              <w:ind w:left="-54" w:leftChars="-26" w:right="-46" w:rightChars="-22"/>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交货地点</w:t>
            </w:r>
          </w:p>
        </w:tc>
        <w:tc>
          <w:tcPr>
            <w:tcW w:w="951" w:type="dxa"/>
            <w:vAlign w:val="center"/>
          </w:tcPr>
          <w:p>
            <w:pPr>
              <w:adjustRightInd w:val="0"/>
              <w:snapToGrid w:val="0"/>
              <w:ind w:left="-54" w:leftChars="-26" w:right="-46" w:rightChars="-22"/>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549" w:type="dxa"/>
            <w:vAlign w:val="center"/>
          </w:tcPr>
          <w:p>
            <w:pPr>
              <w:adjustRightInd w:val="0"/>
              <w:snapToGrid w:val="0"/>
              <w:ind w:left="-54" w:leftChars="-26" w:right="-46" w:rightChars="-22"/>
              <w:jc w:val="center"/>
              <w:rPr>
                <w:rFonts w:hint="default" w:ascii="仿宋_GB2312" w:hAnsi="仿宋_GB2312" w:eastAsia="仿宋_GB2312" w:cs="仿宋_GB2312"/>
                <w:color w:val="auto"/>
                <w:szCs w:val="21"/>
                <w:highlight w:val="none"/>
              </w:rPr>
            </w:pPr>
            <w:r>
              <w:rPr>
                <w:rFonts w:hint="default" w:ascii="仿宋_GB2312" w:hAnsi="仿宋_GB2312" w:eastAsia="仿宋_GB2312" w:cs="仿宋_GB2312"/>
                <w:color w:val="auto"/>
                <w:szCs w:val="21"/>
                <w:highlight w:val="none"/>
                <w:lang w:val="en-US" w:eastAsia="zh-CN"/>
              </w:rPr>
              <w:t xml:space="preserve">高分辨声学成像仪采购 </w:t>
            </w:r>
          </w:p>
          <w:p>
            <w:pPr>
              <w:adjustRightInd w:val="0"/>
              <w:snapToGrid w:val="0"/>
              <w:ind w:left="-54" w:leftChars="-26" w:right="-46" w:rightChars="-22"/>
              <w:jc w:val="center"/>
              <w:rPr>
                <w:rFonts w:ascii="仿宋_GB2312" w:hAnsi="仿宋_GB2312" w:eastAsia="仿宋_GB2312" w:cs="仿宋_GB2312"/>
                <w:color w:val="auto"/>
                <w:szCs w:val="21"/>
                <w:highlight w:val="none"/>
              </w:rPr>
            </w:pPr>
          </w:p>
        </w:tc>
        <w:tc>
          <w:tcPr>
            <w:tcW w:w="2373" w:type="dxa"/>
            <w:vAlign w:val="center"/>
          </w:tcPr>
          <w:p>
            <w:pPr>
              <w:adjustRightInd w:val="0"/>
              <w:snapToGrid w:val="0"/>
              <w:ind w:left="-54" w:leftChars="-26" w:right="-46" w:rightChars="-22"/>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小写：</w:t>
            </w:r>
          </w:p>
          <w:p>
            <w:pPr>
              <w:adjustRightInd w:val="0"/>
              <w:snapToGrid w:val="0"/>
              <w:ind w:left="-54" w:leftChars="-26" w:right="-46" w:rightChars="-22"/>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大写：</w:t>
            </w:r>
          </w:p>
        </w:tc>
        <w:tc>
          <w:tcPr>
            <w:tcW w:w="1309" w:type="dxa"/>
            <w:vAlign w:val="center"/>
          </w:tcPr>
          <w:p>
            <w:pPr>
              <w:adjustRightInd w:val="0"/>
              <w:snapToGrid w:val="0"/>
              <w:ind w:left="-54" w:leftChars="-26" w:right="-46" w:rightChars="-22"/>
              <w:jc w:val="center"/>
              <w:rPr>
                <w:rFonts w:ascii="仿宋_GB2312" w:hAnsi="仿宋_GB2312" w:eastAsia="仿宋_GB2312" w:cs="仿宋_GB2312"/>
                <w:color w:val="auto"/>
                <w:szCs w:val="21"/>
                <w:highlight w:val="none"/>
              </w:rPr>
            </w:pPr>
          </w:p>
        </w:tc>
        <w:tc>
          <w:tcPr>
            <w:tcW w:w="1109" w:type="dxa"/>
            <w:vAlign w:val="center"/>
          </w:tcPr>
          <w:p>
            <w:pPr>
              <w:adjustRightInd w:val="0"/>
              <w:snapToGrid w:val="0"/>
              <w:ind w:left="-54" w:leftChars="-26" w:right="-46" w:rightChars="-22"/>
              <w:jc w:val="center"/>
              <w:rPr>
                <w:rFonts w:ascii="仿宋_GB2312" w:hAnsi="仿宋_GB2312" w:eastAsia="仿宋_GB2312" w:cs="仿宋_GB2312"/>
                <w:color w:val="auto"/>
                <w:szCs w:val="21"/>
                <w:highlight w:val="none"/>
              </w:rPr>
            </w:pPr>
          </w:p>
        </w:tc>
        <w:tc>
          <w:tcPr>
            <w:tcW w:w="1252" w:type="dxa"/>
            <w:vAlign w:val="center"/>
          </w:tcPr>
          <w:p>
            <w:pPr>
              <w:adjustRightInd w:val="0"/>
              <w:snapToGrid w:val="0"/>
              <w:ind w:left="-54" w:leftChars="-26" w:right="-46" w:rightChars="-22"/>
              <w:jc w:val="center"/>
              <w:rPr>
                <w:rFonts w:ascii="仿宋_GB2312" w:hAnsi="仿宋_GB2312" w:eastAsia="仿宋_GB2312" w:cs="仿宋_GB2312"/>
                <w:color w:val="auto"/>
                <w:szCs w:val="21"/>
                <w:highlight w:val="none"/>
              </w:rPr>
            </w:pPr>
          </w:p>
        </w:tc>
        <w:tc>
          <w:tcPr>
            <w:tcW w:w="951" w:type="dxa"/>
            <w:vAlign w:val="center"/>
          </w:tcPr>
          <w:p>
            <w:pPr>
              <w:adjustRightInd w:val="0"/>
              <w:snapToGrid w:val="0"/>
              <w:ind w:left="-54" w:leftChars="-26" w:right="-46" w:rightChars="-22"/>
              <w:jc w:val="center"/>
              <w:rPr>
                <w:rFonts w:ascii="仿宋_GB2312" w:hAnsi="仿宋_GB2312" w:eastAsia="仿宋_GB2312" w:cs="仿宋_GB2312"/>
                <w:color w:val="auto"/>
                <w:szCs w:val="21"/>
                <w:highlight w:val="none"/>
              </w:rPr>
            </w:pPr>
          </w:p>
        </w:tc>
      </w:tr>
    </w:tbl>
    <w:p>
      <w:pPr>
        <w:adjustRightInd w:val="0"/>
        <w:snapToGrid w:val="0"/>
        <w:spacing w:line="360" w:lineRule="auto"/>
        <w:ind w:right="105" w:rightChars="50" w:firstLine="420" w:firstLineChars="200"/>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注：此表中，投标总价应和分项报价表的总价相一致。</w:t>
      </w: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w:t>
      </w:r>
      <w:r>
        <w:rPr>
          <w:rFonts w:hint="eastAsia" w:ascii="仿宋_GB2312" w:hAnsi="仿宋_GB2312" w:eastAsia="仿宋_GB2312" w:cs="仿宋_GB2312"/>
          <w:color w:val="auto"/>
          <w:szCs w:val="21"/>
          <w:highlight w:val="none"/>
        </w:rPr>
        <w:t>授权</w:t>
      </w:r>
      <w:r>
        <w:rPr>
          <w:rFonts w:hint="eastAsia" w:ascii="仿宋_GB2312" w:hAnsi="仿宋_GB2312" w:eastAsia="仿宋_GB2312" w:cs="仿宋_GB2312"/>
          <w:color w:val="auto"/>
          <w:highlight w:val="none"/>
        </w:rPr>
        <w:t>委托</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highlight w:val="none"/>
        </w:rPr>
        <w:t>(签字或盖章)：</w:t>
      </w:r>
      <w:r>
        <w:rPr>
          <w:rFonts w:hint="eastAsia" w:ascii="仿宋_GB2312" w:hAnsi="仿宋_GB2312" w:eastAsia="仿宋_GB2312" w:cs="仿宋_GB2312"/>
          <w:color w:val="auto"/>
          <w:highlight w:val="none"/>
          <w:u w:val="single"/>
        </w:rPr>
        <w:t xml:space="preserve">           </w:t>
      </w:r>
    </w:p>
    <w:p>
      <w:pPr>
        <w:spacing w:line="480" w:lineRule="auto"/>
        <w:ind w:right="1050" w:rightChars="500"/>
        <w:jc w:val="left"/>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szCs w:val="21"/>
          <w:highlight w:val="none"/>
        </w:rPr>
        <w:t xml:space="preserve">  </w:t>
      </w:r>
    </w:p>
    <w:p>
      <w:pPr>
        <w:adjustRightInd w:val="0"/>
        <w:snapToGrid w:val="0"/>
        <w:spacing w:line="360" w:lineRule="auto"/>
        <w:ind w:right="105" w:rightChars="50"/>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br w:type="page"/>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格式11</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color w:val="auto"/>
          <w:sz w:val="32"/>
          <w:szCs w:val="32"/>
          <w:highlight w:val="none"/>
        </w:rPr>
      </w:pPr>
      <w:bookmarkStart w:id="108" w:name="_Toc28271_WPSOffice_Level2"/>
      <w:bookmarkStart w:id="109" w:name="_Toc16044_WPSOffice_Level2"/>
      <w:r>
        <w:rPr>
          <w:rFonts w:hint="eastAsia" w:ascii="仿宋_GB2312" w:hAnsi="仿宋_GB2312" w:eastAsia="仿宋_GB2312" w:cs="仿宋_GB2312"/>
          <w:b/>
          <w:bCs/>
          <w:color w:val="auto"/>
          <w:sz w:val="32"/>
          <w:szCs w:val="32"/>
          <w:highlight w:val="none"/>
        </w:rPr>
        <w:t>分项报价表</w:t>
      </w:r>
      <w:bookmarkEnd w:id="108"/>
      <w:bookmarkEnd w:id="109"/>
    </w:p>
    <w:p>
      <w:pPr>
        <w:adjustRightInd w:val="0"/>
        <w:snapToGrid w:val="0"/>
        <w:spacing w:line="360" w:lineRule="auto"/>
        <w:ind w:right="105" w:rightChars="50" w:firstLine="420" w:firstLineChars="200"/>
        <w:jc w:val="left"/>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包号：                                                      报价单位：元</w:t>
      </w:r>
    </w:p>
    <w:tbl>
      <w:tblPr>
        <w:tblStyle w:val="18"/>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347"/>
        <w:gridCol w:w="1033"/>
        <w:gridCol w:w="1033"/>
        <w:gridCol w:w="721"/>
        <w:gridCol w:w="802"/>
        <w:gridCol w:w="802"/>
        <w:gridCol w:w="675"/>
        <w:gridCol w:w="682"/>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5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134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产品名称</w:t>
            </w: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品牌</w:t>
            </w: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型号</w:t>
            </w:r>
          </w:p>
          <w:p>
            <w:pPr>
              <w:adjustRightInd w:val="0"/>
              <w:snapToGrid w:val="0"/>
              <w:ind w:left="-96" w:leftChars="-46" w:right="-63" w:rightChars="-3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规格</w:t>
            </w:r>
          </w:p>
        </w:tc>
        <w:tc>
          <w:tcPr>
            <w:tcW w:w="721"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数量</w:t>
            </w: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原产地</w:t>
            </w: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制造商名称</w:t>
            </w:r>
          </w:p>
        </w:tc>
        <w:tc>
          <w:tcPr>
            <w:tcW w:w="675"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单价</w:t>
            </w:r>
          </w:p>
        </w:tc>
        <w:tc>
          <w:tcPr>
            <w:tcW w:w="68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总价</w:t>
            </w: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721"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675"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68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721"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675"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68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721"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675"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68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721"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675"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68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721"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675"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68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347"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1033"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721"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675"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68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c>
          <w:tcPr>
            <w:tcW w:w="802" w:type="dxa"/>
            <w:vAlign w:val="center"/>
          </w:tcPr>
          <w:p>
            <w:pPr>
              <w:adjustRightInd w:val="0"/>
              <w:snapToGrid w:val="0"/>
              <w:ind w:left="-96" w:leftChars="-46" w:right="-63" w:rightChars="-3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904" w:type="dxa"/>
            <w:gridSpan w:val="2"/>
            <w:vAlign w:val="center"/>
          </w:tcPr>
          <w:p>
            <w:pPr>
              <w:adjustRightInd w:val="0"/>
              <w:snapToGrid w:val="0"/>
              <w:ind w:right="105" w:rightChars="5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总价</w:t>
            </w:r>
          </w:p>
        </w:tc>
        <w:tc>
          <w:tcPr>
            <w:tcW w:w="6550" w:type="dxa"/>
            <w:gridSpan w:val="8"/>
            <w:vAlign w:val="center"/>
          </w:tcPr>
          <w:p>
            <w:pPr>
              <w:adjustRightInd w:val="0"/>
              <w:snapToGrid w:val="0"/>
              <w:ind w:right="105" w:rightChars="50"/>
              <w:jc w:val="center"/>
              <w:rPr>
                <w:rFonts w:ascii="仿宋_GB2312" w:hAnsi="仿宋_GB2312" w:eastAsia="仿宋_GB2312" w:cs="仿宋_GB2312"/>
                <w:color w:val="auto"/>
                <w:szCs w:val="21"/>
                <w:highlight w:val="none"/>
              </w:rPr>
            </w:pPr>
          </w:p>
        </w:tc>
      </w:tr>
    </w:tbl>
    <w:p>
      <w:pPr>
        <w:adjustRightInd w:val="0"/>
        <w:snapToGrid w:val="0"/>
        <w:spacing w:line="360" w:lineRule="auto"/>
        <w:ind w:right="105" w:rightChars="50"/>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注：此表中，总价应和开标一览表的投标总价相一致。</w:t>
      </w:r>
    </w:p>
    <w:p>
      <w:pPr>
        <w:adjustRightInd w:val="0"/>
        <w:snapToGrid w:val="0"/>
        <w:spacing w:line="360" w:lineRule="auto"/>
        <w:ind w:right="105" w:rightChars="50" w:firstLine="420" w:firstLineChars="200"/>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20" w:firstLineChars="200"/>
        <w:jc w:val="left"/>
        <w:rPr>
          <w:rFonts w:ascii="仿宋_GB2312" w:hAnsi="仿宋_GB2312" w:eastAsia="仿宋_GB2312" w:cs="仿宋_GB2312"/>
          <w:color w:val="auto"/>
          <w:szCs w:val="21"/>
          <w:highlight w:val="none"/>
        </w:rPr>
      </w:pPr>
    </w:p>
    <w:p>
      <w:pPr>
        <w:adjustRightInd w:val="0"/>
        <w:snapToGrid w:val="0"/>
        <w:spacing w:line="360" w:lineRule="auto"/>
        <w:ind w:right="105" w:rightChars="50"/>
        <w:jc w:val="left"/>
        <w:rPr>
          <w:rFonts w:ascii="仿宋_GB2312" w:hAnsi="仿宋_GB2312" w:eastAsia="仿宋_GB2312" w:cs="仿宋_GB2312"/>
          <w:color w:val="auto"/>
          <w:szCs w:val="21"/>
          <w:highlight w:val="none"/>
        </w:rPr>
      </w:pPr>
    </w:p>
    <w:p>
      <w:pPr>
        <w:adjustRightInd w:val="0"/>
        <w:snapToGrid w:val="0"/>
        <w:spacing w:line="360" w:lineRule="auto"/>
        <w:ind w:right="105" w:rightChars="50"/>
        <w:jc w:val="left"/>
        <w:rPr>
          <w:rFonts w:ascii="仿宋_GB2312" w:hAnsi="仿宋_GB2312" w:eastAsia="仿宋_GB2312" w:cs="仿宋_GB2312"/>
          <w:color w:val="auto"/>
          <w:szCs w:val="21"/>
          <w:highlight w:val="none"/>
        </w:rPr>
      </w:pPr>
    </w:p>
    <w:p>
      <w:pPr>
        <w:adjustRightInd w:val="0"/>
        <w:snapToGrid w:val="0"/>
        <w:spacing w:line="360" w:lineRule="auto"/>
        <w:ind w:right="105" w:rightChars="50"/>
        <w:jc w:val="left"/>
        <w:rPr>
          <w:rFonts w:ascii="仿宋_GB2312" w:hAnsi="仿宋_GB2312" w:eastAsia="仿宋_GB2312" w:cs="仿宋_GB2312"/>
          <w:color w:val="auto"/>
          <w:szCs w:val="21"/>
          <w:highlight w:val="none"/>
        </w:rPr>
      </w:pPr>
    </w:p>
    <w:p>
      <w:pPr>
        <w:adjustRightInd w:val="0"/>
        <w:snapToGrid w:val="0"/>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adjustRightInd w:val="0"/>
        <w:snapToGrid w:val="0"/>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w:t>
      </w:r>
      <w:r>
        <w:rPr>
          <w:rFonts w:hint="eastAsia" w:ascii="仿宋_GB2312" w:hAnsi="仿宋_GB2312" w:eastAsia="仿宋_GB2312" w:cs="仿宋_GB2312"/>
          <w:color w:val="auto"/>
          <w:szCs w:val="21"/>
          <w:highlight w:val="none"/>
        </w:rPr>
        <w:t>授权</w:t>
      </w:r>
      <w:r>
        <w:rPr>
          <w:rFonts w:hint="eastAsia" w:ascii="仿宋_GB2312" w:hAnsi="仿宋_GB2312" w:eastAsia="仿宋_GB2312" w:cs="仿宋_GB2312"/>
          <w:color w:val="auto"/>
          <w:highlight w:val="none"/>
        </w:rPr>
        <w:t>委托</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highlight w:val="none"/>
        </w:rPr>
        <w:t>(签字或盖章)：</w:t>
      </w:r>
      <w:r>
        <w:rPr>
          <w:rFonts w:hint="eastAsia" w:ascii="仿宋_GB2312" w:hAnsi="仿宋_GB2312" w:eastAsia="仿宋_GB2312" w:cs="仿宋_GB2312"/>
          <w:color w:val="auto"/>
          <w:highlight w:val="none"/>
          <w:u w:val="single"/>
        </w:rPr>
        <w:t xml:space="preserve">           </w:t>
      </w:r>
    </w:p>
    <w:p>
      <w:pPr>
        <w:adjustRightInd w:val="0"/>
        <w:snapToGrid w:val="0"/>
        <w:spacing w:line="480" w:lineRule="auto"/>
        <w:ind w:right="105" w:rightChars="5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1"/>
          <w:highlight w:val="none"/>
        </w:rPr>
        <w:br w:type="page"/>
      </w:r>
      <w:r>
        <w:rPr>
          <w:rFonts w:hint="eastAsia" w:ascii="仿宋_GB2312" w:hAnsi="仿宋_GB2312" w:eastAsia="仿宋_GB2312" w:cs="仿宋_GB2312"/>
          <w:color w:val="auto"/>
          <w:szCs w:val="28"/>
          <w:highlight w:val="none"/>
        </w:rPr>
        <w:t>格式12</w:t>
      </w:r>
    </w:p>
    <w:p>
      <w:pPr>
        <w:adjustRightInd w:val="0"/>
        <w:snapToGrid w:val="0"/>
        <w:spacing w:before="319" w:beforeLines="100" w:line="360" w:lineRule="auto"/>
        <w:ind w:right="105" w:rightChars="50"/>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技术规格偏离表</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9"/>
        <w:gridCol w:w="2174"/>
        <w:gridCol w:w="1186"/>
        <w:gridCol w:w="1125"/>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875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包号/序号：001/01</w:t>
            </w:r>
          </w:p>
          <w:p>
            <w:pPr>
              <w:pStyle w:val="15"/>
              <w:widowControl w:val="0"/>
              <w:adjustRightInd w:val="0"/>
              <w:snapToGrid w:val="0"/>
              <w:spacing w:before="0" w:beforeAutospacing="0" w:after="0" w:afterAutospacing="0"/>
              <w:jc w:val="both"/>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产品名称：高分辨声学成像仪</w:t>
            </w:r>
          </w:p>
          <w:p>
            <w:pPr>
              <w:pStyle w:val="15"/>
              <w:widowControl w:val="0"/>
              <w:adjustRightInd w:val="0"/>
              <w:snapToGrid w:val="0"/>
              <w:spacing w:before="0" w:beforeAutospacing="0" w:after="0" w:afterAutospacing="0"/>
              <w:jc w:val="both"/>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数量：1台</w:t>
            </w:r>
          </w:p>
          <w:p>
            <w:pPr>
              <w:pStyle w:val="15"/>
              <w:widowControl w:val="0"/>
              <w:adjustRightInd w:val="0"/>
              <w:snapToGrid w:val="0"/>
              <w:spacing w:before="0" w:beforeAutospacing="0" w:after="0" w:afterAutospacing="0"/>
              <w:jc w:val="both"/>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是否为经过审批采购的进口产品：是</w:t>
            </w:r>
          </w:p>
          <w:p>
            <w:pPr>
              <w:pStyle w:val="15"/>
              <w:widowControl w:val="0"/>
              <w:adjustRightInd w:val="0"/>
              <w:snapToGrid w:val="0"/>
              <w:spacing w:before="0" w:beforeAutospacing="0" w:after="0" w:afterAutospacing="0"/>
              <w:jc w:val="both"/>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是否为核心产品（非单一产品采购项目时适用）：是</w:t>
            </w:r>
          </w:p>
          <w:p>
            <w:pPr>
              <w:pStyle w:val="15"/>
              <w:widowControl w:val="0"/>
              <w:adjustRightInd w:val="0"/>
              <w:snapToGrid w:val="0"/>
              <w:spacing w:before="0" w:beforeAutospacing="0" w:after="0" w:afterAutospacing="0"/>
              <w:jc w:val="both"/>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产品对应的中小企业划分标准所属行业：工业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17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招标文件要求</w:t>
            </w:r>
          </w:p>
          <w:p>
            <w:pPr>
              <w:ind w:hanging="1"/>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重要提示：实质性要求及重要指标用★标注（“★”必须标注在序号前），★标注项不得负偏离，如果负偏离，则投标文件无效。</w:t>
            </w:r>
          </w:p>
        </w:tc>
        <w:tc>
          <w:tcPr>
            <w:tcW w:w="21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投标文件</w:t>
            </w:r>
          </w:p>
          <w:p>
            <w:pPr>
              <w:tabs>
                <w:tab w:val="left" w:pos="0"/>
              </w:tabs>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响应内容</w:t>
            </w:r>
          </w:p>
        </w:tc>
        <w:tc>
          <w:tcPr>
            <w:tcW w:w="1186"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偏离程度</w:t>
            </w: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偏离说明</w:t>
            </w:r>
          </w:p>
        </w:tc>
        <w:tc>
          <w:tcPr>
            <w:tcW w:w="1091"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317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color w:val="auto"/>
                <w:highlight w:val="none"/>
              </w:rPr>
            </w:pPr>
            <w:r>
              <w:rPr>
                <w:rFonts w:hint="eastAsia" w:ascii="仿宋" w:hAnsi="仿宋"/>
                <w:color w:val="auto"/>
                <w:highlight w:val="none"/>
              </w:rPr>
              <w:t>一、产品要求（包括配置、标准及技术指标等详细内容）</w:t>
            </w:r>
          </w:p>
          <w:p>
            <w:pPr>
              <w:widowControl/>
              <w:jc w:val="left"/>
              <w:textAlignment w:val="center"/>
              <w:rPr>
                <w:rFonts w:ascii="仿宋" w:hAnsi="仿宋"/>
                <w:color w:val="auto"/>
                <w:highlight w:val="none"/>
              </w:rPr>
            </w:pPr>
            <w:r>
              <w:rPr>
                <w:rFonts w:ascii="仿宋" w:hAnsi="仿宋"/>
                <w:color w:val="auto"/>
                <w:highlight w:val="none"/>
              </w:rPr>
              <w:t>1.1、信号发生器频率范围 5 - 500 MHz。</w:t>
            </w:r>
          </w:p>
          <w:p>
            <w:pPr>
              <w:widowControl/>
              <w:jc w:val="left"/>
              <w:textAlignment w:val="center"/>
              <w:rPr>
                <w:rFonts w:ascii="仿宋" w:hAnsi="仿宋"/>
                <w:color w:val="auto"/>
                <w:highlight w:val="none"/>
              </w:rPr>
            </w:pPr>
            <w:r>
              <w:rPr>
                <w:rFonts w:ascii="仿宋" w:hAnsi="仿宋"/>
                <w:color w:val="auto"/>
                <w:highlight w:val="none"/>
              </w:rPr>
              <w:t>1.2、传感器频率范围 5 - 300 MHz。</w:t>
            </w:r>
          </w:p>
          <w:p>
            <w:pPr>
              <w:widowControl/>
              <w:jc w:val="left"/>
              <w:textAlignment w:val="center"/>
              <w:rPr>
                <w:rFonts w:ascii="仿宋" w:hAnsi="仿宋"/>
                <w:color w:val="auto"/>
                <w:highlight w:val="none"/>
              </w:rPr>
            </w:pPr>
            <w:r>
              <w:rPr>
                <w:rFonts w:ascii="仿宋" w:hAnsi="仿宋"/>
                <w:color w:val="auto"/>
                <w:highlight w:val="none"/>
              </w:rPr>
              <w:t>1.3、设备的主轴X轴采用直线电机且在投标文件中提供实物照片。</w:t>
            </w:r>
          </w:p>
          <w:p>
            <w:pPr>
              <w:widowControl/>
              <w:jc w:val="left"/>
              <w:textAlignment w:val="center"/>
              <w:rPr>
                <w:rFonts w:ascii="仿宋" w:hAnsi="仿宋"/>
                <w:color w:val="auto"/>
                <w:highlight w:val="none"/>
              </w:rPr>
            </w:pPr>
            <w:r>
              <w:rPr>
                <w:rFonts w:ascii="仿宋" w:hAnsi="仿宋"/>
                <w:color w:val="auto"/>
                <w:highlight w:val="none"/>
              </w:rPr>
              <w:t>1.4、X轴的最高扫描速度不小于2000mm/s。在设备验收时，软件可以实时记录X轴的加减速曲线，以证明主轴电机能达到2000mm/s的高性能。</w:t>
            </w:r>
          </w:p>
          <w:p>
            <w:pPr>
              <w:widowControl/>
              <w:jc w:val="left"/>
              <w:textAlignment w:val="center"/>
              <w:rPr>
                <w:rFonts w:ascii="仿宋" w:hAnsi="仿宋"/>
                <w:color w:val="auto"/>
                <w:highlight w:val="none"/>
              </w:rPr>
            </w:pPr>
            <w:r>
              <w:rPr>
                <w:rFonts w:ascii="仿宋" w:hAnsi="仿宋"/>
                <w:color w:val="auto"/>
                <w:highlight w:val="none"/>
              </w:rPr>
              <w:t>1.5、X轴机械重复精度要达到±0.1</w:t>
            </w:r>
            <w:r>
              <w:rPr>
                <w:rFonts w:ascii="Calibri" w:hAnsi="Calibri" w:cs="Calibri"/>
                <w:color w:val="auto"/>
                <w:highlight w:val="none"/>
              </w:rPr>
              <w:t>µ</w:t>
            </w:r>
            <w:r>
              <w:rPr>
                <w:rFonts w:ascii="仿宋" w:hAnsi="仿宋"/>
                <w:color w:val="auto"/>
                <w:highlight w:val="none"/>
              </w:rPr>
              <w:t>m。</w:t>
            </w:r>
          </w:p>
          <w:p>
            <w:pPr>
              <w:widowControl/>
              <w:jc w:val="left"/>
              <w:textAlignment w:val="center"/>
              <w:rPr>
                <w:rFonts w:ascii="仿宋" w:hAnsi="仿宋"/>
                <w:color w:val="auto"/>
                <w:highlight w:val="none"/>
              </w:rPr>
            </w:pPr>
            <w:r>
              <w:rPr>
                <w:rFonts w:ascii="仿宋" w:hAnsi="仿宋"/>
                <w:color w:val="auto"/>
                <w:highlight w:val="none"/>
              </w:rPr>
              <w:t>1.6、设备的副轴Y轴采用直线电机且在投标文件中提供实物照片。</w:t>
            </w:r>
          </w:p>
          <w:p>
            <w:pPr>
              <w:widowControl/>
              <w:jc w:val="left"/>
              <w:textAlignment w:val="center"/>
              <w:rPr>
                <w:rFonts w:ascii="仿宋" w:hAnsi="仿宋"/>
                <w:color w:val="auto"/>
                <w:highlight w:val="none"/>
              </w:rPr>
            </w:pPr>
            <w:r>
              <w:rPr>
                <w:rFonts w:ascii="仿宋" w:hAnsi="仿宋"/>
                <w:color w:val="auto"/>
                <w:highlight w:val="none"/>
              </w:rPr>
              <w:t>1.7、设备的副轴Y轴的最高扫描速度不小于1000mm/s。</w:t>
            </w:r>
          </w:p>
          <w:p>
            <w:pPr>
              <w:widowControl/>
              <w:jc w:val="left"/>
              <w:textAlignment w:val="center"/>
              <w:rPr>
                <w:rFonts w:ascii="仿宋" w:hAnsi="仿宋"/>
                <w:color w:val="auto"/>
                <w:highlight w:val="none"/>
              </w:rPr>
            </w:pPr>
            <w:r>
              <w:rPr>
                <w:rFonts w:ascii="仿宋" w:hAnsi="仿宋"/>
                <w:color w:val="auto"/>
                <w:highlight w:val="none"/>
              </w:rPr>
              <w:t>1.8、Y轴机械重复精度要达到±0.5</w:t>
            </w:r>
            <w:r>
              <w:rPr>
                <w:rFonts w:ascii="Calibri" w:hAnsi="Calibri" w:cs="Calibri"/>
                <w:color w:val="auto"/>
                <w:highlight w:val="none"/>
              </w:rPr>
              <w:t>µ</w:t>
            </w:r>
            <w:r>
              <w:rPr>
                <w:rFonts w:ascii="仿宋" w:hAnsi="仿宋"/>
                <w:color w:val="auto"/>
                <w:highlight w:val="none"/>
              </w:rPr>
              <w:t>m。</w:t>
            </w:r>
          </w:p>
          <w:p>
            <w:pPr>
              <w:widowControl/>
              <w:jc w:val="left"/>
              <w:textAlignment w:val="center"/>
              <w:rPr>
                <w:rFonts w:ascii="仿宋" w:hAnsi="仿宋"/>
                <w:color w:val="auto"/>
                <w:highlight w:val="none"/>
              </w:rPr>
            </w:pPr>
            <w:r>
              <w:rPr>
                <w:rFonts w:ascii="仿宋" w:hAnsi="仿宋"/>
                <w:color w:val="auto"/>
                <w:highlight w:val="none"/>
              </w:rPr>
              <w:t>1.9、设备的X/Y工作面有效范围不小于300 x 300mm。</w:t>
            </w:r>
          </w:p>
          <w:p>
            <w:pPr>
              <w:widowControl/>
              <w:jc w:val="left"/>
              <w:textAlignment w:val="center"/>
              <w:rPr>
                <w:rFonts w:ascii="仿宋" w:hAnsi="仿宋"/>
                <w:color w:val="auto"/>
                <w:highlight w:val="none"/>
              </w:rPr>
            </w:pPr>
            <w:r>
              <w:rPr>
                <w:rFonts w:ascii="仿宋" w:hAnsi="仿宋"/>
                <w:color w:val="auto"/>
                <w:highlight w:val="none"/>
              </w:rPr>
              <w:t>1.10、设备的的Z轴，采用自锁步进电机系统。</w:t>
            </w:r>
          </w:p>
          <w:p>
            <w:pPr>
              <w:widowControl/>
              <w:jc w:val="left"/>
              <w:textAlignment w:val="center"/>
              <w:rPr>
                <w:rFonts w:ascii="仿宋" w:hAnsi="仿宋"/>
                <w:color w:val="auto"/>
                <w:highlight w:val="none"/>
              </w:rPr>
            </w:pPr>
            <w:r>
              <w:rPr>
                <w:rFonts w:ascii="仿宋" w:hAnsi="仿宋"/>
                <w:color w:val="auto"/>
                <w:highlight w:val="none"/>
              </w:rPr>
              <w:t>1.11、 Z轴移动行程：不小于100mm</w:t>
            </w:r>
            <w:r>
              <w:rPr>
                <w:rFonts w:hint="eastAsia" w:ascii="仿宋" w:hAnsi="仿宋"/>
                <w:color w:val="auto"/>
                <w:highlight w:val="none"/>
              </w:rPr>
              <w:t>。</w:t>
            </w:r>
          </w:p>
          <w:p>
            <w:pPr>
              <w:widowControl/>
              <w:jc w:val="left"/>
              <w:textAlignment w:val="center"/>
              <w:rPr>
                <w:rFonts w:ascii="仿宋" w:hAnsi="仿宋"/>
                <w:color w:val="auto"/>
                <w:highlight w:val="none"/>
              </w:rPr>
            </w:pPr>
            <w:r>
              <w:rPr>
                <w:rFonts w:ascii="仿宋" w:hAnsi="仿宋"/>
                <w:color w:val="auto"/>
                <w:highlight w:val="none"/>
              </w:rPr>
              <w:t>1.12、 Z轴机械重复精度要达到±0.5</w:t>
            </w:r>
            <w:r>
              <w:rPr>
                <w:rFonts w:ascii="Calibri" w:hAnsi="Calibri" w:cs="Calibri"/>
                <w:color w:val="auto"/>
                <w:highlight w:val="none"/>
              </w:rPr>
              <w:t>µ</w:t>
            </w:r>
            <w:r>
              <w:rPr>
                <w:rFonts w:ascii="仿宋" w:hAnsi="仿宋"/>
                <w:color w:val="auto"/>
                <w:highlight w:val="none"/>
              </w:rPr>
              <w:t>m或更优</w:t>
            </w:r>
            <w:r>
              <w:rPr>
                <w:rFonts w:hint="eastAsia" w:ascii="仿宋" w:hAnsi="仿宋"/>
                <w:color w:val="auto"/>
                <w:highlight w:val="none"/>
              </w:rPr>
              <w:t>。</w:t>
            </w:r>
          </w:p>
          <w:p>
            <w:pPr>
              <w:widowControl/>
              <w:jc w:val="left"/>
              <w:textAlignment w:val="center"/>
              <w:rPr>
                <w:rFonts w:ascii="仿宋" w:hAnsi="仿宋"/>
                <w:color w:val="auto"/>
                <w:highlight w:val="none"/>
              </w:rPr>
            </w:pPr>
            <w:r>
              <w:rPr>
                <w:rFonts w:hint="eastAsia" w:ascii="仿宋" w:hAnsi="仿宋"/>
                <w:color w:val="auto"/>
                <w:highlight w:val="none"/>
              </w:rPr>
              <w:t>★</w:t>
            </w:r>
            <w:r>
              <w:rPr>
                <w:rFonts w:ascii="仿宋" w:hAnsi="仿宋"/>
                <w:color w:val="auto"/>
                <w:highlight w:val="none"/>
              </w:rPr>
              <w:t xml:space="preserve">1.13、为扫描大型工件，要求设备硬件本身具有升级到400mm x 400mm的有效工作区的能力 ，且无须更换或修整硬件，投标文件须提供实物照片，阐明该升级能力的实现方法和设计。 </w:t>
            </w:r>
          </w:p>
          <w:p>
            <w:pPr>
              <w:widowControl/>
              <w:jc w:val="left"/>
              <w:textAlignment w:val="center"/>
              <w:rPr>
                <w:rFonts w:ascii="仿宋" w:hAnsi="仿宋"/>
                <w:color w:val="auto"/>
                <w:highlight w:val="none"/>
              </w:rPr>
            </w:pPr>
            <w:r>
              <w:rPr>
                <w:rFonts w:ascii="仿宋" w:hAnsi="仿宋"/>
                <w:color w:val="auto"/>
                <w:highlight w:val="none"/>
              </w:rPr>
              <w:t>1.14、开机自检功能、假如有异常，会报故障信息提示框。</w:t>
            </w:r>
          </w:p>
          <w:p>
            <w:pPr>
              <w:widowControl/>
              <w:jc w:val="left"/>
              <w:textAlignment w:val="center"/>
              <w:rPr>
                <w:rFonts w:ascii="仿宋" w:hAnsi="仿宋"/>
                <w:color w:val="auto"/>
                <w:highlight w:val="none"/>
              </w:rPr>
            </w:pPr>
            <w:r>
              <w:rPr>
                <w:rFonts w:ascii="仿宋" w:hAnsi="仿宋"/>
                <w:color w:val="auto"/>
                <w:highlight w:val="none"/>
              </w:rPr>
              <w:t>1.15具有Z轴对焦限位保护功能，能避免换能器由于误操作与样品发生撞击。</w:t>
            </w:r>
          </w:p>
          <w:p>
            <w:pPr>
              <w:widowControl/>
              <w:jc w:val="left"/>
              <w:textAlignment w:val="center"/>
              <w:rPr>
                <w:rFonts w:ascii="仿宋" w:hAnsi="仿宋"/>
                <w:color w:val="auto"/>
                <w:highlight w:val="none"/>
              </w:rPr>
            </w:pPr>
            <w:r>
              <w:rPr>
                <w:rFonts w:ascii="仿宋" w:hAnsi="仿宋"/>
                <w:color w:val="auto"/>
                <w:highlight w:val="none"/>
              </w:rPr>
              <w:t>1.16换能器上具有物理保护角，能防止探头传感器部分与样品直接碰撞。</w:t>
            </w:r>
          </w:p>
          <w:p>
            <w:pPr>
              <w:widowControl/>
              <w:jc w:val="left"/>
              <w:textAlignment w:val="center"/>
              <w:rPr>
                <w:rFonts w:ascii="仿宋" w:hAnsi="仿宋"/>
                <w:color w:val="auto"/>
                <w:highlight w:val="none"/>
              </w:rPr>
            </w:pPr>
            <w:r>
              <w:rPr>
                <w:rFonts w:ascii="仿宋" w:hAnsi="仿宋"/>
                <w:color w:val="auto"/>
                <w:highlight w:val="none"/>
              </w:rPr>
              <w:t>1.17、主动式防震系统，配置厚重的大理石作为惯性平衡机构，其外形总尺寸须大于840mm×800mm×220mm（L×W×H），且设备的总净重大于0.5吨，确保设备在高速扫描工作时保持系统的稳定和精度的稳定。投标文件上提供惯性平衡机构的大理石平台实物照片为证，且各方向都标明尺寸符合上述惯性平衡机构要求的尺寸和重量，以备设备验收时逐一对照。</w:t>
            </w:r>
          </w:p>
          <w:p>
            <w:pPr>
              <w:widowControl/>
              <w:jc w:val="left"/>
              <w:textAlignment w:val="center"/>
              <w:rPr>
                <w:rFonts w:ascii="仿宋" w:hAnsi="仿宋"/>
                <w:color w:val="auto"/>
                <w:highlight w:val="none"/>
              </w:rPr>
            </w:pPr>
            <w:r>
              <w:rPr>
                <w:rFonts w:ascii="仿宋" w:hAnsi="仿宋"/>
                <w:color w:val="auto"/>
                <w:highlight w:val="none"/>
              </w:rPr>
              <w:t>1.18 样</w:t>
            </w:r>
            <w:r>
              <w:rPr>
                <w:rFonts w:ascii="仿宋" w:hAnsi="仿宋"/>
                <w:color w:val="auto"/>
                <w:highlight w:val="none"/>
              </w:rPr>
              <w:t>品水槽尺寸不小于500 x 500 x 100mm</w:t>
            </w:r>
            <w:r>
              <w:rPr>
                <w:rFonts w:hint="eastAsia" w:ascii="仿宋" w:hAnsi="仿宋"/>
                <w:color w:val="auto"/>
                <w:highlight w:val="none"/>
              </w:rPr>
              <w:t>（</w:t>
            </w:r>
            <w:r>
              <w:rPr>
                <w:rFonts w:ascii="仿宋" w:hAnsi="仿宋"/>
                <w:color w:val="auto"/>
                <w:highlight w:val="none"/>
              </w:rPr>
              <w:t>L×W×H</w:t>
            </w:r>
            <w:r>
              <w:rPr>
                <w:rFonts w:hint="eastAsia" w:ascii="仿宋" w:hAnsi="仿宋"/>
                <w:color w:val="auto"/>
                <w:highlight w:val="none"/>
              </w:rPr>
              <w:t>）。</w:t>
            </w:r>
          </w:p>
          <w:p>
            <w:pPr>
              <w:widowControl/>
              <w:jc w:val="left"/>
              <w:textAlignment w:val="center"/>
              <w:rPr>
                <w:rFonts w:ascii="仿宋" w:hAnsi="仿宋"/>
                <w:color w:val="auto"/>
                <w:highlight w:val="none"/>
              </w:rPr>
            </w:pPr>
            <w:r>
              <w:rPr>
                <w:rFonts w:ascii="仿宋" w:hAnsi="仿宋"/>
                <w:color w:val="auto"/>
                <w:highlight w:val="none"/>
              </w:rPr>
              <w:t>1.19、工控计算机（</w:t>
            </w:r>
            <w:r>
              <w:rPr>
                <w:rFonts w:hint="eastAsia" w:ascii="仿宋" w:hAnsi="仿宋"/>
                <w:color w:val="auto"/>
                <w:highlight w:val="none"/>
              </w:rPr>
              <w:t>不低于</w:t>
            </w:r>
            <w:r>
              <w:rPr>
                <w:rFonts w:ascii="仿宋" w:hAnsi="仿宋"/>
                <w:color w:val="auto"/>
                <w:highlight w:val="none"/>
              </w:rPr>
              <w:t>Intel 酷睿i5多核CPU，Microsoft Windows 10操作系统）。配双接口显卡，可以同时输出2路显示信号。2台24英寸或更优的液晶显示屏。包含一个≥1TB机械硬盘，用以作为数据存储盘；带1个≥128GB固态硬盘，用以作为系统盘，≥8GB内存；包含光盘驱动器（DVD-RW）一个。</w:t>
            </w:r>
          </w:p>
          <w:p>
            <w:pPr>
              <w:widowControl/>
              <w:jc w:val="left"/>
              <w:textAlignment w:val="center"/>
              <w:rPr>
                <w:rFonts w:ascii="仿宋" w:hAnsi="仿宋"/>
                <w:color w:val="auto"/>
                <w:highlight w:val="none"/>
              </w:rPr>
            </w:pPr>
            <w:r>
              <w:rPr>
                <w:rFonts w:ascii="仿宋" w:hAnsi="仿宋"/>
                <w:color w:val="auto"/>
                <w:highlight w:val="none"/>
              </w:rPr>
              <w:t>1.20、整机设备包括：扫描机构、惯性平衡机构、电机和电控、机箱或机架等</w:t>
            </w:r>
            <w:r>
              <w:rPr>
                <w:rFonts w:hint="eastAsia" w:ascii="仿宋" w:hAnsi="仿宋"/>
                <w:color w:val="auto"/>
                <w:highlight w:val="none"/>
              </w:rPr>
              <w:t>、</w:t>
            </w:r>
            <w:r>
              <w:rPr>
                <w:rFonts w:ascii="仿宋" w:hAnsi="仿宋"/>
                <w:color w:val="auto"/>
                <w:highlight w:val="none"/>
              </w:rPr>
              <w:t>电脑桌</w:t>
            </w:r>
            <w:r>
              <w:rPr>
                <w:rFonts w:hint="eastAsia" w:ascii="仿宋" w:hAnsi="仿宋"/>
                <w:color w:val="auto"/>
                <w:highlight w:val="none"/>
              </w:rPr>
              <w:t>、</w:t>
            </w:r>
            <w:r>
              <w:rPr>
                <w:rFonts w:ascii="仿宋" w:hAnsi="仿宋"/>
                <w:color w:val="auto"/>
                <w:highlight w:val="none"/>
              </w:rPr>
              <w:t>显示器</w:t>
            </w:r>
            <w:r>
              <w:rPr>
                <w:rFonts w:hint="eastAsia" w:ascii="仿宋" w:hAnsi="仿宋"/>
                <w:color w:val="auto"/>
                <w:highlight w:val="none"/>
              </w:rPr>
              <w:t>、</w:t>
            </w:r>
            <w:r>
              <w:rPr>
                <w:rFonts w:ascii="仿宋" w:hAnsi="仿宋"/>
                <w:color w:val="auto"/>
                <w:highlight w:val="none"/>
              </w:rPr>
              <w:t>键盘</w:t>
            </w:r>
            <w:r>
              <w:rPr>
                <w:rFonts w:hint="eastAsia" w:ascii="仿宋" w:hAnsi="仿宋"/>
                <w:color w:val="auto"/>
                <w:highlight w:val="none"/>
              </w:rPr>
              <w:t>、</w:t>
            </w:r>
            <w:r>
              <w:rPr>
                <w:rFonts w:ascii="仿宋" w:hAnsi="仿宋"/>
                <w:color w:val="auto"/>
                <w:highlight w:val="none"/>
              </w:rPr>
              <w:t>鼠标。</w:t>
            </w:r>
          </w:p>
          <w:p>
            <w:pPr>
              <w:widowControl/>
              <w:jc w:val="left"/>
              <w:textAlignment w:val="center"/>
              <w:rPr>
                <w:rFonts w:ascii="仿宋" w:hAnsi="仿宋"/>
                <w:color w:val="auto"/>
                <w:highlight w:val="none"/>
              </w:rPr>
            </w:pPr>
            <w:r>
              <w:rPr>
                <w:rFonts w:hint="eastAsia" w:ascii="仿宋" w:hAnsi="仿宋"/>
                <w:color w:val="auto"/>
                <w:highlight w:val="none"/>
              </w:rPr>
              <w:t>二、配（附）件的数量及技术要求（详细内容）：</w:t>
            </w:r>
          </w:p>
          <w:p>
            <w:pPr>
              <w:widowControl/>
              <w:jc w:val="left"/>
              <w:textAlignment w:val="center"/>
              <w:rPr>
                <w:rFonts w:ascii="仿宋" w:hAnsi="仿宋"/>
                <w:color w:val="auto"/>
                <w:highlight w:val="none"/>
              </w:rPr>
            </w:pPr>
            <w:r>
              <w:rPr>
                <w:rFonts w:hint="eastAsia" w:ascii="仿宋" w:hAnsi="仿宋"/>
                <w:color w:val="auto"/>
                <w:highlight w:val="none"/>
              </w:rPr>
              <w:t>★</w:t>
            </w:r>
            <w:r>
              <w:rPr>
                <w:rFonts w:ascii="仿宋" w:hAnsi="仿宋"/>
                <w:color w:val="auto"/>
                <w:highlight w:val="none"/>
              </w:rPr>
              <w:t>2.1、反射探头频率75MHz，焦距5mm，数量1个。透射探头频率10MHz及透射样品台，及其它结构件和线缆，数量1套。</w:t>
            </w:r>
          </w:p>
          <w:p>
            <w:pPr>
              <w:widowControl/>
              <w:jc w:val="left"/>
              <w:textAlignment w:val="center"/>
              <w:rPr>
                <w:rFonts w:ascii="仿宋" w:hAnsi="仿宋"/>
                <w:color w:val="auto"/>
                <w:highlight w:val="none"/>
              </w:rPr>
            </w:pPr>
            <w:r>
              <w:rPr>
                <w:rFonts w:hint="eastAsia" w:ascii="仿宋" w:hAnsi="仿宋"/>
                <w:color w:val="auto"/>
                <w:highlight w:val="none"/>
              </w:rPr>
              <w:t>★</w:t>
            </w:r>
            <w:r>
              <w:rPr>
                <w:rFonts w:ascii="仿宋" w:hAnsi="仿宋"/>
                <w:color w:val="auto"/>
                <w:highlight w:val="none"/>
              </w:rPr>
              <w:t>2.2、设备配置的</w:t>
            </w:r>
            <w:r>
              <w:rPr>
                <w:rFonts w:hint="eastAsia" w:ascii="仿宋" w:hAnsi="仿宋"/>
                <w:color w:val="auto"/>
                <w:highlight w:val="none"/>
              </w:rPr>
              <w:t>反射探头须</w:t>
            </w:r>
            <w:r>
              <w:rPr>
                <w:rFonts w:ascii="仿宋" w:hAnsi="仿宋"/>
                <w:color w:val="auto"/>
                <w:highlight w:val="none"/>
              </w:rPr>
              <w:t>是</w:t>
            </w:r>
            <w:r>
              <w:rPr>
                <w:rFonts w:hint="eastAsia" w:ascii="仿宋" w:hAnsi="仿宋"/>
                <w:color w:val="auto"/>
                <w:highlight w:val="none"/>
              </w:rPr>
              <w:t>能抑制水花气泡噪声的</w:t>
            </w:r>
            <w:r>
              <w:rPr>
                <w:rFonts w:ascii="仿宋" w:hAnsi="仿宋"/>
                <w:color w:val="auto"/>
                <w:highlight w:val="none"/>
              </w:rPr>
              <w:t>降噪探头，详细说明降噪技术原理与实现，并在投标文件上提供</w:t>
            </w:r>
            <w:r>
              <w:rPr>
                <w:rFonts w:hint="eastAsia" w:ascii="仿宋" w:hAnsi="仿宋"/>
                <w:color w:val="auto"/>
                <w:highlight w:val="none"/>
              </w:rPr>
              <w:t>包含降噪部件的反射探头的</w:t>
            </w:r>
            <w:r>
              <w:rPr>
                <w:rFonts w:ascii="仿宋" w:hAnsi="仿宋"/>
                <w:color w:val="auto"/>
                <w:highlight w:val="none"/>
              </w:rPr>
              <w:t>实物照片为证</w:t>
            </w:r>
            <w:r>
              <w:rPr>
                <w:rFonts w:hint="eastAsia" w:ascii="仿宋" w:hAnsi="仿宋"/>
                <w:color w:val="auto"/>
                <w:highlight w:val="none"/>
              </w:rPr>
              <w:t>，以备在设备验收时对照。</w:t>
            </w:r>
          </w:p>
          <w:p>
            <w:pPr>
              <w:widowControl/>
              <w:jc w:val="left"/>
              <w:textAlignment w:val="center"/>
              <w:rPr>
                <w:rFonts w:ascii="仿宋" w:hAnsi="仿宋"/>
                <w:color w:val="auto"/>
                <w:highlight w:val="none"/>
              </w:rPr>
            </w:pPr>
            <w:r>
              <w:rPr>
                <w:rFonts w:hint="eastAsia" w:ascii="仿宋" w:hAnsi="仿宋"/>
                <w:color w:val="auto"/>
                <w:highlight w:val="none"/>
              </w:rPr>
              <w:t>三、软件要求：</w:t>
            </w:r>
          </w:p>
          <w:p>
            <w:pPr>
              <w:widowControl/>
              <w:jc w:val="left"/>
              <w:textAlignment w:val="center"/>
              <w:rPr>
                <w:rFonts w:ascii="仿宋" w:hAnsi="仿宋"/>
                <w:color w:val="auto"/>
                <w:highlight w:val="none"/>
              </w:rPr>
            </w:pPr>
            <w:r>
              <w:rPr>
                <w:rFonts w:ascii="仿宋" w:hAnsi="仿宋"/>
                <w:color w:val="auto"/>
                <w:highlight w:val="none"/>
              </w:rPr>
              <w:t>3.1、声学数字成像软件的射频增益最高50dB，最小步长：0.1dB。</w:t>
            </w:r>
          </w:p>
          <w:p>
            <w:pPr>
              <w:widowControl/>
              <w:jc w:val="left"/>
              <w:textAlignment w:val="center"/>
              <w:rPr>
                <w:rFonts w:ascii="仿宋" w:hAnsi="仿宋"/>
                <w:color w:val="auto"/>
                <w:highlight w:val="none"/>
              </w:rPr>
            </w:pPr>
            <w:r>
              <w:rPr>
                <w:rFonts w:ascii="仿宋" w:hAnsi="仿宋"/>
                <w:color w:val="auto"/>
                <w:highlight w:val="none"/>
              </w:rPr>
              <w:t>3.2、自由选择 A,B,C等扫描模式。</w:t>
            </w:r>
          </w:p>
          <w:p>
            <w:pPr>
              <w:widowControl/>
              <w:jc w:val="left"/>
              <w:textAlignment w:val="center"/>
              <w:rPr>
                <w:rFonts w:ascii="仿宋" w:hAnsi="仿宋"/>
                <w:color w:val="auto"/>
                <w:highlight w:val="none"/>
              </w:rPr>
            </w:pPr>
            <w:r>
              <w:rPr>
                <w:rFonts w:ascii="仿宋" w:hAnsi="仿宋"/>
                <w:color w:val="auto"/>
                <w:highlight w:val="none"/>
              </w:rPr>
              <w:t>3.3、多层扫描：可设置不小于30个电子门限。</w:t>
            </w:r>
          </w:p>
          <w:p>
            <w:pPr>
              <w:widowControl/>
              <w:jc w:val="left"/>
              <w:textAlignment w:val="center"/>
              <w:rPr>
                <w:rFonts w:ascii="仿宋" w:hAnsi="仿宋"/>
                <w:color w:val="auto"/>
                <w:highlight w:val="none"/>
              </w:rPr>
            </w:pPr>
            <w:r>
              <w:rPr>
                <w:rFonts w:ascii="仿宋" w:hAnsi="仿宋"/>
                <w:color w:val="auto"/>
                <w:highlight w:val="none"/>
              </w:rPr>
              <w:t>3.4、声学数字成像软件具有HQ扫描, 预扫描和快速预扫描功能。</w:t>
            </w:r>
          </w:p>
          <w:p>
            <w:pPr>
              <w:widowControl/>
              <w:jc w:val="left"/>
              <w:textAlignment w:val="center"/>
              <w:rPr>
                <w:rFonts w:ascii="仿宋" w:hAnsi="仿宋"/>
                <w:color w:val="auto"/>
                <w:highlight w:val="none"/>
              </w:rPr>
            </w:pPr>
            <w:r>
              <w:rPr>
                <w:rFonts w:ascii="仿宋" w:hAnsi="仿宋"/>
                <w:color w:val="auto"/>
                <w:highlight w:val="none"/>
              </w:rPr>
              <w:t>3.5、声学数字成像软件具有样品厚度测量功能。</w:t>
            </w:r>
          </w:p>
          <w:p>
            <w:pPr>
              <w:widowControl/>
              <w:jc w:val="left"/>
              <w:textAlignment w:val="center"/>
              <w:rPr>
                <w:rFonts w:ascii="仿宋" w:hAnsi="仿宋"/>
                <w:color w:val="auto"/>
                <w:highlight w:val="none"/>
              </w:rPr>
            </w:pPr>
            <w:r>
              <w:rPr>
                <w:rFonts w:ascii="仿宋" w:hAnsi="仿宋"/>
                <w:color w:val="auto"/>
                <w:highlight w:val="none"/>
              </w:rPr>
              <w:t>3.6、声学数字成像软件具有高阶的生产作业能力，能将被测工件的声学数字图像存储成一种专用安全的原始图像格式，不仅包含图像像素数据，还要包含成像时的所有参数。这个图像格式中，能保存至少10个点以上的A-Scan全时域的波形图，确保随时可以接受检测结果的调出与复核，确保数据客观权威性及可追朔性。</w:t>
            </w:r>
          </w:p>
          <w:p>
            <w:pPr>
              <w:widowControl/>
              <w:jc w:val="left"/>
              <w:textAlignment w:val="center"/>
              <w:rPr>
                <w:rFonts w:ascii="仿宋" w:hAnsi="仿宋"/>
                <w:color w:val="auto"/>
                <w:highlight w:val="none"/>
              </w:rPr>
            </w:pPr>
            <w:r>
              <w:rPr>
                <w:rFonts w:ascii="仿宋" w:hAnsi="仿宋"/>
                <w:color w:val="auto"/>
                <w:highlight w:val="none"/>
              </w:rPr>
              <w:t>3.7、图像着色：能通过灰度、固定色、彩虹色等模式对图像进行着色。</w:t>
            </w:r>
          </w:p>
          <w:p>
            <w:pPr>
              <w:widowControl/>
              <w:jc w:val="left"/>
              <w:textAlignment w:val="center"/>
              <w:rPr>
                <w:rFonts w:ascii="仿宋" w:hAnsi="仿宋"/>
                <w:color w:val="auto"/>
                <w:highlight w:val="none"/>
              </w:rPr>
            </w:pPr>
            <w:r>
              <w:rPr>
                <w:rFonts w:ascii="仿宋" w:hAnsi="仿宋"/>
                <w:color w:val="auto"/>
                <w:highlight w:val="none"/>
              </w:rPr>
              <w:t>3.8、二维图象分析软件具有在指定区域内计算缺陷等所占的百分比。</w:t>
            </w:r>
          </w:p>
          <w:p>
            <w:pPr>
              <w:widowControl/>
              <w:jc w:val="left"/>
              <w:textAlignment w:val="center"/>
              <w:rPr>
                <w:rFonts w:ascii="仿宋" w:hAnsi="仿宋"/>
                <w:color w:val="auto"/>
                <w:highlight w:val="none"/>
              </w:rPr>
            </w:pPr>
            <w:r>
              <w:rPr>
                <w:rFonts w:ascii="仿宋" w:hAnsi="仿宋"/>
                <w:color w:val="auto"/>
                <w:highlight w:val="none"/>
              </w:rPr>
              <w:t>3.9、二维图象分析软件具有图像选区选择、无效区域扣除等。</w:t>
            </w:r>
          </w:p>
          <w:p>
            <w:pPr>
              <w:widowControl/>
              <w:jc w:val="left"/>
              <w:textAlignment w:val="center"/>
              <w:rPr>
                <w:rFonts w:ascii="仿宋" w:hAnsi="仿宋"/>
                <w:color w:val="auto"/>
                <w:highlight w:val="none"/>
              </w:rPr>
            </w:pPr>
            <w:r>
              <w:rPr>
                <w:rFonts w:ascii="仿宋" w:hAnsi="仿宋"/>
                <w:color w:val="auto"/>
                <w:highlight w:val="none"/>
              </w:rPr>
              <w:t>3.10、二维图象分析软件可对图像进行视频增强、边界强化、轮廓凸现、对比度增强、图像反转等基本图像处理方式。</w:t>
            </w:r>
          </w:p>
          <w:p>
            <w:pPr>
              <w:widowControl/>
              <w:jc w:val="left"/>
              <w:textAlignment w:val="center"/>
              <w:rPr>
                <w:rFonts w:ascii="仿宋" w:hAnsi="仿宋"/>
                <w:color w:val="auto"/>
                <w:highlight w:val="none"/>
              </w:rPr>
            </w:pPr>
            <w:r>
              <w:rPr>
                <w:rFonts w:ascii="仿宋" w:hAnsi="仿宋"/>
                <w:color w:val="auto"/>
                <w:highlight w:val="none"/>
              </w:rPr>
              <w:t>3.11、三维超声CT图像分析软件可立体查看被测工件内部的结构和缺陷分布，且对三维超声CT图像作任意切割、缩放、旋转。</w:t>
            </w:r>
          </w:p>
        </w:tc>
        <w:tc>
          <w:tcPr>
            <w:tcW w:w="2174"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_GB2312" w:eastAsia="仿宋_GB2312" w:cs="仿宋_GB2312"/>
                <w:color w:val="auto"/>
                <w:kern w:val="0"/>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ascii="仿宋_GB2312" w:hAnsi="仿宋_GB2312" w:eastAsia="仿宋_GB2312" w:cs="仿宋_GB2312"/>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ascii="仿宋_GB2312" w:hAnsi="仿宋_GB2312" w:eastAsia="仿宋_GB2312" w:cs="仿宋_GB2312"/>
                <w:color w:val="auto"/>
                <w:kern w:val="0"/>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79"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其它</w:t>
            </w:r>
          </w:p>
        </w:tc>
        <w:tc>
          <w:tcPr>
            <w:tcW w:w="2174" w:type="dxa"/>
            <w:tcBorders>
              <w:top w:val="single" w:color="auto" w:sz="4" w:space="0"/>
              <w:left w:val="single" w:color="auto" w:sz="4" w:space="0"/>
              <w:bottom w:val="single" w:color="auto" w:sz="4" w:space="0"/>
              <w:right w:val="single" w:color="auto" w:sz="4" w:space="0"/>
            </w:tcBorders>
            <w:vAlign w:val="center"/>
          </w:tcPr>
          <w:p>
            <w:pPr>
              <w:tabs>
                <w:tab w:val="left" w:pos="-61"/>
              </w:tabs>
              <w:adjustRightInd w:val="0"/>
              <w:snapToGrid w:val="0"/>
              <w:ind w:right="-54" w:rightChars="-26"/>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采购单位未提供需求而投标人认为需说明及补充的内容在此填列</w:t>
            </w:r>
          </w:p>
        </w:tc>
        <w:tc>
          <w:tcPr>
            <w:tcW w:w="1186"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ascii="仿宋_GB2312" w:hAnsi="仿宋_GB2312" w:eastAsia="仿宋_GB2312" w:cs="仿宋_GB2312"/>
                <w:color w:val="auto"/>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ascii="仿宋_GB2312" w:hAnsi="仿宋_GB2312" w:eastAsia="仿宋_GB2312" w:cs="仿宋_GB2312"/>
                <w:color w:val="auto"/>
                <w:kern w:val="0"/>
                <w:szCs w:val="21"/>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ascii="仿宋_GB2312" w:hAnsi="仿宋_GB2312" w:eastAsia="仿宋_GB2312" w:cs="仿宋_GB2312"/>
                <w:color w:val="auto"/>
                <w:kern w:val="0"/>
                <w:szCs w:val="21"/>
                <w:highlight w:val="none"/>
              </w:rPr>
            </w:pPr>
          </w:p>
        </w:tc>
      </w:tr>
    </w:tbl>
    <w:p>
      <w:pPr>
        <w:pStyle w:val="2"/>
        <w:ind w:firstLine="0" w:firstLineChars="0"/>
        <w:rPr>
          <w:rFonts w:ascii="仿宋_GB2312" w:hAnsi="仿宋_GB2312" w:eastAsia="仿宋_GB2312" w:cs="仿宋_GB2312"/>
          <w:color w:val="auto"/>
          <w:highlight w:val="none"/>
        </w:rPr>
      </w:pPr>
    </w:p>
    <w:p>
      <w:pPr>
        <w:adjustRightInd w:val="0"/>
        <w:snapToGrid w:val="0"/>
        <w:spacing w:line="360" w:lineRule="auto"/>
        <w:ind w:right="105" w:rightChars="50"/>
        <w:jc w:val="left"/>
        <w:rPr>
          <w:rFonts w:ascii="仿宋_GB2312" w:hAnsi="仿宋_GB2312" w:eastAsia="仿宋_GB2312" w:cs="仿宋_GB2312"/>
          <w:b/>
          <w:color w:val="auto"/>
          <w:szCs w:val="21"/>
          <w:highlight w:val="none"/>
        </w:rPr>
      </w:pPr>
    </w:p>
    <w:p>
      <w:pPr>
        <w:adjustRightInd w:val="0"/>
        <w:snapToGrid w:val="0"/>
        <w:spacing w:line="360" w:lineRule="auto"/>
        <w:ind w:right="105" w:rightChars="5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填表要求：</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1．“投标文件响应内容”一栏由投标人按照招标文件要求填写并进行逐项响应。</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3．“偏离说明”一栏由投标人对偏离的情况做详细说明。</w:t>
      </w:r>
    </w:p>
    <w:p>
      <w:pPr>
        <w:adjustRightInd w:val="0"/>
        <w:snapToGrid w:val="0"/>
        <w:spacing w:line="360" w:lineRule="auto"/>
        <w:rPr>
          <w:rFonts w:ascii="仿宋_GB2312" w:hAnsi="仿宋_GB2312" w:eastAsia="仿宋_GB2312" w:cs="仿宋_GB2312"/>
          <w:color w:val="auto"/>
          <w:szCs w:val="21"/>
          <w:highlight w:val="none"/>
        </w:rPr>
      </w:pPr>
    </w:p>
    <w:p>
      <w:pPr>
        <w:adjustRightInd w:val="0"/>
        <w:snapToGrid w:val="0"/>
        <w:spacing w:line="360" w:lineRule="auto"/>
        <w:rPr>
          <w:rFonts w:ascii="仿宋_GB2312" w:hAnsi="仿宋_GB2312" w:eastAsia="仿宋_GB2312" w:cs="仿宋_GB2312"/>
          <w:color w:val="auto"/>
          <w:szCs w:val="21"/>
          <w:highlight w:val="none"/>
        </w:rPr>
      </w:pPr>
    </w:p>
    <w:p>
      <w:pPr>
        <w:adjustRightInd w:val="0"/>
        <w:snapToGrid w:val="0"/>
        <w:spacing w:line="360" w:lineRule="auto"/>
        <w:rPr>
          <w:rFonts w:ascii="仿宋_GB2312" w:hAnsi="仿宋_GB2312" w:eastAsia="仿宋_GB2312" w:cs="仿宋_GB2312"/>
          <w:color w:val="auto"/>
          <w:szCs w:val="21"/>
          <w:highlight w:val="none"/>
        </w:rPr>
      </w:pPr>
    </w:p>
    <w:p>
      <w:pPr>
        <w:snapToGrid w:val="0"/>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snapToGrid w:val="0"/>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w:t>
      </w:r>
      <w:r>
        <w:rPr>
          <w:rFonts w:hint="eastAsia" w:ascii="仿宋_GB2312" w:hAnsi="仿宋_GB2312" w:eastAsia="仿宋_GB2312" w:cs="仿宋_GB2312"/>
          <w:color w:val="auto"/>
          <w:szCs w:val="21"/>
          <w:highlight w:val="none"/>
        </w:rPr>
        <w:t>授权</w:t>
      </w:r>
      <w:r>
        <w:rPr>
          <w:rFonts w:hint="eastAsia" w:ascii="仿宋_GB2312" w:hAnsi="仿宋_GB2312" w:eastAsia="仿宋_GB2312" w:cs="仿宋_GB2312"/>
          <w:color w:val="auto"/>
          <w:highlight w:val="none"/>
        </w:rPr>
        <w:t>委托</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highlight w:val="none"/>
        </w:rPr>
        <w:t>(签字或盖章)：</w:t>
      </w:r>
      <w:r>
        <w:rPr>
          <w:rFonts w:hint="eastAsia" w:ascii="仿宋_GB2312" w:hAnsi="仿宋_GB2312" w:eastAsia="仿宋_GB2312" w:cs="仿宋_GB2312"/>
          <w:color w:val="auto"/>
          <w:highlight w:val="none"/>
          <w:u w:val="single"/>
        </w:rPr>
        <w:t xml:space="preserve">           </w:t>
      </w:r>
    </w:p>
    <w:p>
      <w:pPr>
        <w:adjustRightInd w:val="0"/>
        <w:snapToGrid w:val="0"/>
        <w:spacing w:line="480" w:lineRule="auto"/>
        <w:ind w:right="105" w:rightChars="50"/>
        <w:jc w:val="left"/>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b w:val="0"/>
          <w:color w:val="auto"/>
          <w:szCs w:val="28"/>
          <w:highlight w:val="none"/>
        </w:rPr>
        <w:br w:type="page"/>
      </w:r>
      <w:r>
        <w:rPr>
          <w:rFonts w:hint="eastAsia" w:ascii="仿宋_GB2312" w:hAnsi="仿宋_GB2312" w:eastAsia="仿宋_GB2312" w:cs="仿宋_GB2312"/>
          <w:color w:val="auto"/>
          <w:szCs w:val="28"/>
          <w:highlight w:val="none"/>
        </w:rPr>
        <w:t>格式13</w:t>
      </w:r>
    </w:p>
    <w:p>
      <w:pPr>
        <w:adjustRightInd w:val="0"/>
        <w:snapToGrid w:val="0"/>
        <w:ind w:right="105" w:rightChars="50"/>
        <w:jc w:val="center"/>
        <w:rPr>
          <w:rFonts w:ascii="仿宋_GB2312" w:hAnsi="仿宋_GB2312" w:eastAsia="仿宋_GB2312" w:cs="仿宋_GB2312"/>
          <w:b/>
          <w:bCs/>
          <w:color w:val="auto"/>
          <w:sz w:val="32"/>
          <w:szCs w:val="32"/>
          <w:highlight w:val="none"/>
        </w:rPr>
      </w:pPr>
      <w:bookmarkStart w:id="110" w:name="_Toc8488_WPSOffice_Level2"/>
      <w:bookmarkStart w:id="111" w:name="_Toc4431_WPSOffice_Level2"/>
      <w:r>
        <w:rPr>
          <w:rFonts w:hint="eastAsia" w:ascii="仿宋_GB2312" w:hAnsi="仿宋_GB2312" w:eastAsia="仿宋_GB2312" w:cs="仿宋_GB2312"/>
          <w:b/>
          <w:bCs/>
          <w:color w:val="auto"/>
          <w:sz w:val="32"/>
          <w:szCs w:val="32"/>
          <w:highlight w:val="none"/>
        </w:rPr>
        <w:t>商务条款偏离表</w:t>
      </w:r>
      <w:bookmarkEnd w:id="110"/>
      <w:bookmarkEnd w:id="111"/>
    </w:p>
    <w:p>
      <w:pPr>
        <w:adjustRightInd w:val="0"/>
        <w:snapToGrid w:val="0"/>
        <w:spacing w:line="360" w:lineRule="auto"/>
        <w:ind w:right="105" w:rightChars="50"/>
        <w:jc w:val="left"/>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 xml:space="preserve">包号： </w:t>
      </w:r>
    </w:p>
    <w:tbl>
      <w:tblPr>
        <w:tblStyle w:val="18"/>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640"/>
        <w:gridCol w:w="2370"/>
        <w:gridCol w:w="92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68" w:type="dxa"/>
            <w:vAlign w:val="center"/>
          </w:tcPr>
          <w:p>
            <w:pPr>
              <w:adjustRightInd w:val="0"/>
              <w:snapToGrid w:val="0"/>
              <w:ind w:right="-48" w:rightChars="-23"/>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640" w:type="dxa"/>
            <w:vAlign w:val="center"/>
          </w:tcPr>
          <w:p>
            <w:pPr>
              <w:adjustRightInd w:val="0"/>
              <w:snapToGrid w:val="0"/>
              <w:ind w:right="-73" w:rightChars="-35"/>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招标文件的商务条款</w:t>
            </w:r>
          </w:p>
          <w:p>
            <w:pPr>
              <w:adjustRightInd w:val="0"/>
              <w:snapToGrid w:val="0"/>
              <w:ind w:right="-73" w:rightChars="-35"/>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olor w:val="auto"/>
                <w:sz w:val="18"/>
                <w:szCs w:val="18"/>
                <w:highlight w:val="none"/>
              </w:rPr>
              <w:t>实质性要求及重要指标用★标注，★标注项不得负偏离，如果负偏离，则投标文件无效。</w:t>
            </w:r>
            <w:r>
              <w:rPr>
                <w:rFonts w:hint="eastAsia" w:ascii="仿宋_GB2312" w:hAnsi="仿宋_GB2312" w:eastAsia="仿宋_GB2312" w:cs="仿宋_GB2312"/>
                <w:color w:val="auto"/>
                <w:szCs w:val="21"/>
                <w:highlight w:val="none"/>
              </w:rPr>
              <w:t>）</w:t>
            </w:r>
          </w:p>
        </w:tc>
        <w:tc>
          <w:tcPr>
            <w:tcW w:w="2370" w:type="dxa"/>
            <w:vAlign w:val="center"/>
          </w:tcPr>
          <w:p>
            <w:pPr>
              <w:adjustRightInd w:val="0"/>
              <w:snapToGrid w:val="0"/>
              <w:ind w:right="-107" w:rightChars="-51"/>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投标文件响应内容</w:t>
            </w:r>
          </w:p>
        </w:tc>
        <w:tc>
          <w:tcPr>
            <w:tcW w:w="926" w:type="dxa"/>
            <w:vAlign w:val="center"/>
          </w:tcPr>
          <w:p>
            <w:pPr>
              <w:adjustRightInd w:val="0"/>
              <w:snapToGrid w:val="0"/>
              <w:ind w:left="-58" w:leftChars="-28" w:right="-105" w:rightChars="-5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偏离程度</w:t>
            </w:r>
          </w:p>
        </w:tc>
        <w:tc>
          <w:tcPr>
            <w:tcW w:w="936" w:type="dxa"/>
            <w:vAlign w:val="center"/>
          </w:tcPr>
          <w:p>
            <w:pPr>
              <w:adjustRightInd w:val="0"/>
              <w:snapToGrid w:val="0"/>
              <w:ind w:left="-58" w:leftChars="-28" w:right="-105" w:rightChars="-5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68" w:type="dxa"/>
            <w:vAlign w:val="center"/>
          </w:tcPr>
          <w:p>
            <w:pPr>
              <w:adjustRightInd w:val="0"/>
              <w:snapToGrid w:val="0"/>
              <w:ind w:right="-107" w:rightChars="-51"/>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3640" w:type="dxa"/>
            <w:vAlign w:val="center"/>
          </w:tcPr>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交货时间：合同签订后（45）日历天。</w:t>
            </w:r>
          </w:p>
        </w:tc>
        <w:tc>
          <w:tcPr>
            <w:tcW w:w="2370"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26" w:type="dxa"/>
            <w:vAlign w:val="center"/>
          </w:tcPr>
          <w:p>
            <w:pPr>
              <w:rPr>
                <w:color w:val="auto"/>
                <w:highlight w:val="none"/>
              </w:rPr>
            </w:pPr>
          </w:p>
        </w:tc>
        <w:tc>
          <w:tcPr>
            <w:tcW w:w="93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68" w:type="dxa"/>
            <w:vAlign w:val="center"/>
          </w:tcPr>
          <w:p>
            <w:pPr>
              <w:adjustRightInd w:val="0"/>
              <w:snapToGrid w:val="0"/>
              <w:ind w:right="-107" w:rightChars="-51"/>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3640" w:type="dxa"/>
            <w:vAlign w:val="center"/>
          </w:tcPr>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交货地点：沈阳建筑大学指定地点。</w:t>
            </w:r>
          </w:p>
        </w:tc>
        <w:tc>
          <w:tcPr>
            <w:tcW w:w="2370"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2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3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68" w:type="dxa"/>
            <w:vAlign w:val="center"/>
          </w:tcPr>
          <w:p>
            <w:pPr>
              <w:adjustRightInd w:val="0"/>
              <w:snapToGrid w:val="0"/>
              <w:ind w:right="-107" w:rightChars="-51"/>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3640" w:type="dxa"/>
            <w:vAlign w:val="center"/>
          </w:tcPr>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付款方式及条件：签订合同两个月内支付合同额的75%。产品到达经安装、调试、培训、验收合格后支付至合同额的95%，余款在验收合格满一年后无质量问题一次性支付，不计利息。</w:t>
            </w:r>
          </w:p>
        </w:tc>
        <w:tc>
          <w:tcPr>
            <w:tcW w:w="2370"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2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3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768" w:type="dxa"/>
            <w:vAlign w:val="center"/>
          </w:tcPr>
          <w:p>
            <w:pPr>
              <w:adjustRightInd w:val="0"/>
              <w:snapToGrid w:val="0"/>
              <w:ind w:right="-107" w:rightChars="-51"/>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3640" w:type="dxa"/>
            <w:vAlign w:val="center"/>
          </w:tcPr>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验收标准：按照采购文件及中标供应商的投标文件执行。</w:t>
            </w:r>
          </w:p>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验收程序：根据《关于印发辽宁省政府采购履约验收管理办法的通知》辽财采[2017]603号执行。</w:t>
            </w:r>
          </w:p>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验收报告：由验收小组出具。</w:t>
            </w:r>
          </w:p>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组织验收主体：本项目的履约验收工作由采购人委托采购代理机构组织实施。</w:t>
            </w:r>
          </w:p>
        </w:tc>
        <w:tc>
          <w:tcPr>
            <w:tcW w:w="2370"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2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3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68" w:type="dxa"/>
            <w:vAlign w:val="center"/>
          </w:tcPr>
          <w:p>
            <w:pPr>
              <w:adjustRightInd w:val="0"/>
              <w:snapToGrid w:val="0"/>
              <w:ind w:right="-107" w:rightChars="-51"/>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3640" w:type="dxa"/>
            <w:vAlign w:val="center"/>
          </w:tcPr>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质量保证期：免费质量保证期（3）年(探头和线缆等易损件除外)。</w:t>
            </w:r>
          </w:p>
        </w:tc>
        <w:tc>
          <w:tcPr>
            <w:tcW w:w="2370"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2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3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8" w:type="dxa"/>
            <w:vAlign w:val="center"/>
          </w:tcPr>
          <w:p>
            <w:pPr>
              <w:adjustRightInd w:val="0"/>
              <w:snapToGrid w:val="0"/>
              <w:ind w:right="-107" w:rightChars="-51"/>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p>
        </w:tc>
        <w:tc>
          <w:tcPr>
            <w:tcW w:w="3640" w:type="dxa"/>
            <w:vAlign w:val="center"/>
          </w:tcPr>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保修期内上门免费服务，终身维修，提供配件：（3）年，探头和线缆等易损件除外。软件终身免费升级。</w:t>
            </w:r>
          </w:p>
        </w:tc>
        <w:tc>
          <w:tcPr>
            <w:tcW w:w="2370"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2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3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68" w:type="dxa"/>
            <w:vAlign w:val="center"/>
          </w:tcPr>
          <w:p>
            <w:pPr>
              <w:adjustRightInd w:val="0"/>
              <w:snapToGrid w:val="0"/>
              <w:ind w:right="-107" w:rightChars="-51"/>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p>
        </w:tc>
        <w:tc>
          <w:tcPr>
            <w:tcW w:w="3640" w:type="dxa"/>
            <w:vAlign w:val="center"/>
          </w:tcPr>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热线支持：7*（24）小时。</w:t>
            </w:r>
          </w:p>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现场支持：（4）小时内响应；（24）小时内到达。</w:t>
            </w:r>
          </w:p>
        </w:tc>
        <w:tc>
          <w:tcPr>
            <w:tcW w:w="2370"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2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3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8" w:type="dxa"/>
            <w:vAlign w:val="center"/>
          </w:tcPr>
          <w:p>
            <w:pPr>
              <w:adjustRightInd w:val="0"/>
              <w:snapToGrid w:val="0"/>
              <w:ind w:right="-107" w:rightChars="-51"/>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w:t>
            </w:r>
          </w:p>
        </w:tc>
        <w:tc>
          <w:tcPr>
            <w:tcW w:w="3640" w:type="dxa"/>
            <w:vAlign w:val="center"/>
          </w:tcPr>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维修技术人员及设备方面的保证措施及收费标准的要求：市场最低价格。</w:t>
            </w:r>
          </w:p>
        </w:tc>
        <w:tc>
          <w:tcPr>
            <w:tcW w:w="2370"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2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3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8" w:type="dxa"/>
            <w:vAlign w:val="center"/>
          </w:tcPr>
          <w:p>
            <w:pPr>
              <w:adjustRightInd w:val="0"/>
              <w:snapToGrid w:val="0"/>
              <w:ind w:right="-107" w:rightChars="-51"/>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w:t>
            </w:r>
          </w:p>
        </w:tc>
        <w:tc>
          <w:tcPr>
            <w:tcW w:w="3640" w:type="dxa"/>
            <w:vAlign w:val="center"/>
          </w:tcPr>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备品备件供应及优惠价格要求：市场最低价格</w:t>
            </w:r>
          </w:p>
        </w:tc>
        <w:tc>
          <w:tcPr>
            <w:tcW w:w="2370"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2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3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8" w:type="dxa"/>
            <w:vAlign w:val="center"/>
          </w:tcPr>
          <w:p>
            <w:pPr>
              <w:adjustRightInd w:val="0"/>
              <w:snapToGrid w:val="0"/>
              <w:ind w:right="-107" w:rightChars="-51"/>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w:t>
            </w:r>
          </w:p>
        </w:tc>
        <w:tc>
          <w:tcPr>
            <w:tcW w:w="3640" w:type="dxa"/>
            <w:vAlign w:val="center"/>
          </w:tcPr>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培训人员现场培训（设备操作、维护等）：提供至少3天现场培训，后期提供免费咨询服务。保修期内免费提供培训，保修期外，培训按200元/小时计费，无另外收费。</w:t>
            </w:r>
          </w:p>
        </w:tc>
        <w:tc>
          <w:tcPr>
            <w:tcW w:w="2370"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2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3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8" w:type="dxa"/>
            <w:vAlign w:val="center"/>
          </w:tcPr>
          <w:p>
            <w:pPr>
              <w:adjustRightInd w:val="0"/>
              <w:snapToGrid w:val="0"/>
              <w:ind w:right="-107" w:rightChars="-51"/>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w:t>
            </w:r>
          </w:p>
        </w:tc>
        <w:tc>
          <w:tcPr>
            <w:tcW w:w="3640" w:type="dxa"/>
            <w:vAlign w:val="center"/>
          </w:tcPr>
          <w:p>
            <w:pPr>
              <w:adjustRightInd w:val="0"/>
              <w:snapToGrid w:val="0"/>
              <w:ind w:right="-107" w:rightChars="-51"/>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其他：本次采购项目中的进口设备用于科教领域，根据我国海关对科学研究和教学用品免征进口税收等相关政策的规定，采购人具有免税资格，供应商对进口设备的投标报价应为免税价格。</w:t>
            </w:r>
          </w:p>
        </w:tc>
        <w:tc>
          <w:tcPr>
            <w:tcW w:w="2370"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2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3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68"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3640" w:type="dxa"/>
            <w:vAlign w:val="center"/>
          </w:tcPr>
          <w:p>
            <w:pPr>
              <w:adjustRightInd w:val="0"/>
              <w:snapToGrid w:val="0"/>
              <w:ind w:hanging="1"/>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其它</w:t>
            </w:r>
          </w:p>
        </w:tc>
        <w:tc>
          <w:tcPr>
            <w:tcW w:w="2370" w:type="dxa"/>
            <w:vAlign w:val="center"/>
          </w:tcPr>
          <w:p>
            <w:pPr>
              <w:adjustRightInd w:val="0"/>
              <w:snapToGrid w:val="0"/>
              <w:ind w:left="-52" w:leftChars="-25" w:right="-16" w:rightChars="-8"/>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采购单位未提供需求而投标人认为需说明及补充的内容在此填列</w:t>
            </w:r>
          </w:p>
        </w:tc>
        <w:tc>
          <w:tcPr>
            <w:tcW w:w="92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c>
          <w:tcPr>
            <w:tcW w:w="936" w:type="dxa"/>
            <w:vAlign w:val="center"/>
          </w:tcPr>
          <w:p>
            <w:pPr>
              <w:adjustRightInd w:val="0"/>
              <w:snapToGrid w:val="0"/>
              <w:ind w:right="105" w:rightChars="50"/>
              <w:jc w:val="center"/>
              <w:rPr>
                <w:rFonts w:ascii="仿宋_GB2312" w:hAnsi="仿宋_GB2312" w:eastAsia="仿宋_GB2312" w:cs="仿宋_GB2312"/>
                <w:color w:val="auto"/>
                <w:szCs w:val="21"/>
                <w:highlight w:val="none"/>
              </w:rPr>
            </w:pPr>
          </w:p>
        </w:tc>
      </w:tr>
    </w:tbl>
    <w:p>
      <w:pPr>
        <w:adjustRightInd w:val="0"/>
        <w:snapToGrid w:val="0"/>
        <w:spacing w:line="360" w:lineRule="auto"/>
        <w:ind w:right="105" w:rightChars="50"/>
        <w:jc w:val="left"/>
        <w:rPr>
          <w:rFonts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填表要求：</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1．“投标文件响应内容”一栏由投标人按照招标文件要求填写，进行响应。</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3．“偏离说明”一栏由投标人对偏离的情况做详细说明。</w:t>
      </w:r>
    </w:p>
    <w:p>
      <w:pPr>
        <w:adjustRightInd w:val="0"/>
        <w:snapToGrid w:val="0"/>
        <w:spacing w:line="360" w:lineRule="auto"/>
        <w:rPr>
          <w:rFonts w:ascii="仿宋_GB2312" w:hAnsi="仿宋_GB2312" w:eastAsia="仿宋_GB2312" w:cs="仿宋_GB2312"/>
          <w:color w:val="auto"/>
          <w:szCs w:val="21"/>
          <w:highlight w:val="none"/>
        </w:rPr>
      </w:pP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w:t>
      </w:r>
      <w:r>
        <w:rPr>
          <w:rFonts w:hint="eastAsia" w:ascii="仿宋_GB2312" w:hAnsi="仿宋_GB2312" w:eastAsia="仿宋_GB2312" w:cs="仿宋_GB2312"/>
          <w:color w:val="auto"/>
          <w:szCs w:val="21"/>
          <w:highlight w:val="none"/>
        </w:rPr>
        <w:t>授权</w:t>
      </w:r>
      <w:r>
        <w:rPr>
          <w:rFonts w:hint="eastAsia" w:ascii="仿宋_GB2312" w:hAnsi="仿宋_GB2312" w:eastAsia="仿宋_GB2312" w:cs="仿宋_GB2312"/>
          <w:color w:val="auto"/>
          <w:highlight w:val="none"/>
        </w:rPr>
        <w:t>委托</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highlight w:val="none"/>
        </w:rPr>
        <w:t>(签字或盖章)：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br w:type="page"/>
      </w:r>
      <w:r>
        <w:rPr>
          <w:rFonts w:hint="eastAsia" w:ascii="仿宋_GB2312" w:hAnsi="仿宋_GB2312" w:eastAsia="仿宋_GB2312" w:cs="仿宋_GB2312"/>
          <w:color w:val="auto"/>
          <w:szCs w:val="28"/>
          <w:highlight w:val="none"/>
        </w:rPr>
        <w:t>格式14</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color w:val="auto"/>
          <w:sz w:val="32"/>
          <w:szCs w:val="32"/>
          <w:highlight w:val="none"/>
        </w:rPr>
      </w:pPr>
      <w:bookmarkStart w:id="112" w:name="_Toc20929_WPSOffice_Level2"/>
      <w:bookmarkStart w:id="113" w:name="_Toc9410_WPSOffice_Level2"/>
      <w:r>
        <w:rPr>
          <w:rFonts w:hint="eastAsia" w:ascii="仿宋_GB2312" w:hAnsi="仿宋_GB2312" w:eastAsia="仿宋_GB2312" w:cs="仿宋_GB2312"/>
          <w:b/>
          <w:bCs/>
          <w:color w:val="auto"/>
          <w:sz w:val="32"/>
          <w:szCs w:val="32"/>
          <w:highlight w:val="none"/>
        </w:rPr>
        <w:t>投标人关联单位的说明</w:t>
      </w:r>
      <w:bookmarkEnd w:id="112"/>
      <w:bookmarkEnd w:id="113"/>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说明：投标人应当如实披露与本单位存在下列关联关系的单位名称：</w:t>
      </w: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bookmarkStart w:id="114" w:name="_Toc31070_WPSOffice_Level2"/>
      <w:bookmarkStart w:id="115" w:name="_Toc2074_WPSOffice_Level2"/>
      <w:r>
        <w:rPr>
          <w:rFonts w:hint="eastAsia" w:ascii="仿宋_GB2312" w:hAnsi="仿宋_GB2312" w:eastAsia="仿宋_GB2312" w:cs="仿宋_GB2312"/>
          <w:color w:val="auto"/>
          <w:szCs w:val="21"/>
          <w:highlight w:val="none"/>
        </w:rPr>
        <w:t>（1）与投标人单位法定代表人（或非法人组织负责人）为同一人的其他单位；</w:t>
      </w:r>
      <w:bookmarkEnd w:id="114"/>
      <w:bookmarkEnd w:id="115"/>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bookmarkStart w:id="116" w:name="_Toc889_WPSOffice_Level2"/>
      <w:bookmarkStart w:id="117" w:name="_Toc27053_WPSOffice_Level2"/>
      <w:r>
        <w:rPr>
          <w:rFonts w:hint="eastAsia" w:ascii="仿宋_GB2312" w:hAnsi="仿宋_GB2312" w:eastAsia="仿宋_GB2312" w:cs="仿宋_GB2312"/>
          <w:color w:val="auto"/>
          <w:szCs w:val="21"/>
          <w:highlight w:val="none"/>
        </w:rPr>
        <w:t>（2）与投标人存在直接控股、管理关系的其他单位。</w:t>
      </w:r>
      <w:bookmarkEnd w:id="116"/>
      <w:bookmarkEnd w:id="117"/>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注：若无此情形，写“无”即可</w:t>
      </w: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w:t>
      </w:r>
      <w:r>
        <w:rPr>
          <w:rFonts w:hint="eastAsia" w:ascii="仿宋_GB2312" w:hAnsi="仿宋_GB2312" w:eastAsia="仿宋_GB2312" w:cs="仿宋_GB2312"/>
          <w:color w:val="auto"/>
          <w:szCs w:val="21"/>
          <w:highlight w:val="none"/>
        </w:rPr>
        <w:t>授权</w:t>
      </w:r>
      <w:r>
        <w:rPr>
          <w:rFonts w:hint="eastAsia" w:ascii="仿宋_GB2312" w:hAnsi="仿宋_GB2312" w:eastAsia="仿宋_GB2312" w:cs="仿宋_GB2312"/>
          <w:color w:val="auto"/>
          <w:highlight w:val="none"/>
        </w:rPr>
        <w:t>委托</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highlight w:val="none"/>
        </w:rPr>
        <w:t>(签字或盖章)：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Cs w:val="21"/>
          <w:highlight w:val="none"/>
        </w:rPr>
      </w:pPr>
    </w:p>
    <w:p>
      <w:pPr>
        <w:adjustRightInd w:val="0"/>
        <w:snapToGrid w:val="0"/>
        <w:spacing w:line="360" w:lineRule="auto"/>
        <w:ind w:right="105" w:rightChars="50"/>
        <w:jc w:val="left"/>
        <w:rPr>
          <w:rFonts w:ascii="仿宋_GB2312" w:hAnsi="仿宋_GB2312" w:eastAsia="仿宋_GB2312" w:cs="仿宋_GB2312"/>
          <w:color w:val="auto"/>
          <w:szCs w:val="21"/>
          <w:highlight w:val="none"/>
        </w:rPr>
      </w:pPr>
    </w:p>
    <w:p>
      <w:pPr>
        <w:adjustRightInd w:val="0"/>
        <w:snapToGrid w:val="0"/>
        <w:spacing w:line="360" w:lineRule="auto"/>
        <w:ind w:right="105" w:rightChars="50"/>
        <w:jc w:val="left"/>
        <w:rPr>
          <w:rFonts w:ascii="仿宋_GB2312" w:hAnsi="仿宋_GB2312" w:eastAsia="仿宋_GB2312" w:cs="仿宋_GB2312"/>
          <w:color w:val="auto"/>
          <w:szCs w:val="21"/>
          <w:highlight w:val="none"/>
        </w:rPr>
      </w:pPr>
    </w:p>
    <w:p>
      <w:pPr>
        <w:widowControl/>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8"/>
          <w:highlight w:val="none"/>
        </w:rPr>
        <w:br w:type="page"/>
      </w:r>
      <w:r>
        <w:rPr>
          <w:rFonts w:hint="eastAsia" w:ascii="仿宋_GB2312" w:hAnsi="仿宋_GB2312" w:eastAsia="仿宋_GB2312" w:cs="仿宋_GB2312"/>
          <w:b/>
          <w:color w:val="auto"/>
          <w:sz w:val="28"/>
          <w:szCs w:val="28"/>
          <w:highlight w:val="none"/>
        </w:rPr>
        <w:t>格式15</w:t>
      </w:r>
    </w:p>
    <w:p>
      <w:pPr>
        <w:spacing w:line="360" w:lineRule="auto"/>
        <w:jc w:val="center"/>
        <w:outlineLvl w:val="1"/>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电子文件与备份文件内容、格式一致性承诺函</w:t>
      </w:r>
    </w:p>
    <w:p>
      <w:pPr>
        <w:widowControl/>
        <w:jc w:val="left"/>
        <w:rPr>
          <w:rFonts w:ascii="仿宋_GB2312" w:hAnsi="仿宋_GB2312" w:eastAsia="仿宋_GB2312" w:cs="仿宋_GB2312"/>
          <w:color w:val="auto"/>
          <w:szCs w:val="21"/>
          <w:highlight w:val="none"/>
          <w:u w:val="single"/>
        </w:rPr>
      </w:pPr>
    </w:p>
    <w:p>
      <w:pPr>
        <w:widowControl/>
        <w:jc w:val="left"/>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u w:val="single"/>
        </w:rPr>
        <w:t>（采购人或采购代理机构）：</w:t>
      </w:r>
    </w:p>
    <w:p>
      <w:pPr>
        <w:adjustRightInd w:val="0"/>
        <w:snapToGrid w:val="0"/>
        <w:spacing w:line="360" w:lineRule="auto"/>
        <w:ind w:firstLine="420" w:firstLineChars="200"/>
        <w:rPr>
          <w:rFonts w:ascii="仿宋_GB2312" w:hAnsi="仿宋_GB2312" w:eastAsia="仿宋_GB2312" w:cs="仿宋_GB2312"/>
          <w:color w:val="auto"/>
          <w:highlight w:val="none"/>
        </w:rPr>
      </w:pPr>
    </w:p>
    <w:p>
      <w:pPr>
        <w:adjustRightInd w:val="0"/>
        <w:snapToGrid w:val="0"/>
        <w:spacing w:line="360" w:lineRule="auto"/>
        <w:ind w:firstLine="480" w:firstLineChars="200"/>
        <w:rPr>
          <w:color w:val="auto"/>
          <w:sz w:val="24"/>
          <w:highlight w:val="none"/>
        </w:rPr>
      </w:pPr>
      <w:r>
        <w:rPr>
          <w:rFonts w:hint="eastAsia" w:ascii="仿宋_GB2312" w:hAnsi="仿宋_GB2312" w:eastAsia="仿宋_GB2312" w:cs="仿宋_GB2312"/>
          <w:color w:val="auto"/>
          <w:sz w:val="24"/>
          <w:highlight w:val="none"/>
        </w:rPr>
        <w:t>我单位在辽宁政府采购网电子评审系统提交的电子文件与现场递交的备份文件内容、格式完全一致，特此承诺。</w:t>
      </w:r>
    </w:p>
    <w:p>
      <w:pPr>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因未递交备份文件而导致系统突发故障时无法正常评审的，或者递交的备份文件不符合要求影响评审的，由我单位自行承担相应责任。</w:t>
      </w: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spacing w:line="480" w:lineRule="auto"/>
        <w:rPr>
          <w:rFonts w:ascii="仿宋_GB2312" w:hAnsi="仿宋_GB2312" w:eastAsia="仿宋_GB2312" w:cs="仿宋_GB2312"/>
          <w:color w:val="auto"/>
          <w:highlight w:val="none"/>
        </w:rPr>
      </w:pPr>
    </w:p>
    <w:p>
      <w:pPr>
        <w:spacing w:line="480" w:lineRule="auto"/>
        <w:rPr>
          <w:rFonts w:ascii="仿宋_GB2312" w:hAnsi="仿宋_GB2312" w:eastAsia="仿宋_GB2312" w:cs="仿宋_GB2312"/>
          <w:color w:val="auto"/>
          <w:highlight w:val="none"/>
        </w:rPr>
      </w:pPr>
    </w:p>
    <w:p>
      <w:pPr>
        <w:spacing w:line="480" w:lineRule="auto"/>
        <w:rPr>
          <w:rFonts w:ascii="仿宋_GB2312" w:hAnsi="仿宋_GB2312" w:eastAsia="仿宋_GB2312" w:cs="仿宋_GB2312"/>
          <w:color w:val="auto"/>
          <w:highlight w:val="none"/>
        </w:rPr>
      </w:pPr>
    </w:p>
    <w:p>
      <w:pPr>
        <w:spacing w:line="480" w:lineRule="auto"/>
        <w:rPr>
          <w:rFonts w:ascii="仿宋_GB2312" w:hAnsi="仿宋_GB2312" w:eastAsia="仿宋_GB2312" w:cs="仿宋_GB2312"/>
          <w:color w:val="auto"/>
          <w:highlight w:val="none"/>
        </w:rPr>
      </w:pP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w:t>
      </w:r>
      <w:r>
        <w:rPr>
          <w:rFonts w:hint="eastAsia" w:ascii="仿宋_GB2312" w:hAnsi="仿宋_GB2312" w:eastAsia="仿宋_GB2312" w:cs="仿宋_GB2312"/>
          <w:color w:val="auto"/>
          <w:szCs w:val="21"/>
          <w:highlight w:val="none"/>
        </w:rPr>
        <w:t>授权</w:t>
      </w:r>
      <w:r>
        <w:rPr>
          <w:rFonts w:hint="eastAsia" w:ascii="仿宋_GB2312" w:hAnsi="仿宋_GB2312" w:eastAsia="仿宋_GB2312" w:cs="仿宋_GB2312"/>
          <w:color w:val="auto"/>
          <w:highlight w:val="none"/>
        </w:rPr>
        <w:t>委托</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highlight w:val="none"/>
        </w:rPr>
        <w:t>(签字或盖章)：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br w:type="page"/>
      </w:r>
      <w:r>
        <w:rPr>
          <w:rFonts w:hint="eastAsia" w:ascii="仿宋_GB2312" w:hAnsi="仿宋_GB2312" w:eastAsia="仿宋_GB2312" w:cs="仿宋_GB2312"/>
          <w:color w:val="auto"/>
          <w:szCs w:val="28"/>
          <w:highlight w:val="none"/>
        </w:rPr>
        <w:t>格式16</w:t>
      </w:r>
    </w:p>
    <w:p>
      <w:pPr>
        <w:spacing w:before="319" w:beforeLines="100" w:after="319" w:afterLines="100" w:line="360" w:lineRule="auto"/>
        <w:ind w:firstLine="640" w:firstLineChars="200"/>
        <w:jc w:val="center"/>
        <w:rPr>
          <w:rFonts w:ascii="仿宋_GB2312" w:hAnsi="仿宋_GB2312" w:eastAsia="仿宋_GB2312" w:cs="仿宋_GB2312"/>
          <w:b/>
          <w:bCs/>
          <w:color w:val="auto"/>
          <w:sz w:val="32"/>
          <w:szCs w:val="32"/>
          <w:highlight w:val="none"/>
        </w:rPr>
      </w:pPr>
      <w:bookmarkStart w:id="118" w:name="_Toc13329_WPSOffice_Level2"/>
      <w:bookmarkStart w:id="119" w:name="_Toc6847_WPSOffice_Level2"/>
      <w:r>
        <w:rPr>
          <w:rFonts w:hint="eastAsia" w:ascii="仿宋_GB2312" w:hAnsi="仿宋_GB2312" w:eastAsia="仿宋_GB2312" w:cs="仿宋_GB2312"/>
          <w:b/>
          <w:bCs/>
          <w:color w:val="auto"/>
          <w:sz w:val="32"/>
          <w:szCs w:val="32"/>
          <w:highlight w:val="none"/>
        </w:rPr>
        <w:t>进口产品制造厂家的授权书</w:t>
      </w:r>
      <w:bookmarkEnd w:id="118"/>
      <w:bookmarkEnd w:id="119"/>
    </w:p>
    <w:p>
      <w:pPr>
        <w:spacing w:line="360" w:lineRule="auto"/>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u w:val="single"/>
        </w:rPr>
        <w:t>（采购人或采购代理机构）：</w:t>
      </w:r>
    </w:p>
    <w:p>
      <w:pPr>
        <w:spacing w:line="360" w:lineRule="auto"/>
        <w:ind w:firstLine="840" w:firstLineChars="4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我们</w:t>
      </w:r>
      <w:r>
        <w:rPr>
          <w:rFonts w:hint="eastAsia" w:ascii="仿宋_GB2312" w:hAnsi="仿宋_GB2312" w:eastAsia="仿宋_GB2312" w:cs="仿宋_GB2312"/>
          <w:color w:val="auto"/>
          <w:szCs w:val="21"/>
          <w:highlight w:val="none"/>
          <w:u w:val="single"/>
        </w:rPr>
        <w:t>（制造商名称）</w:t>
      </w:r>
      <w:r>
        <w:rPr>
          <w:rFonts w:hint="eastAsia" w:ascii="仿宋_GB2312" w:hAnsi="仿宋_GB2312" w:eastAsia="仿宋_GB2312" w:cs="仿宋_GB2312"/>
          <w:color w:val="auto"/>
          <w:szCs w:val="21"/>
          <w:highlight w:val="none"/>
        </w:rPr>
        <w:t>是按</w:t>
      </w:r>
      <w:r>
        <w:rPr>
          <w:rFonts w:hint="eastAsia" w:ascii="仿宋_GB2312" w:hAnsi="仿宋_GB2312" w:eastAsia="仿宋_GB2312" w:cs="仿宋_GB2312"/>
          <w:color w:val="auto"/>
          <w:szCs w:val="21"/>
          <w:highlight w:val="none"/>
          <w:u w:val="single"/>
        </w:rPr>
        <w:t>（国家名称）</w:t>
      </w:r>
      <w:r>
        <w:rPr>
          <w:rFonts w:hint="eastAsia" w:ascii="仿宋_GB2312" w:hAnsi="仿宋_GB2312" w:eastAsia="仿宋_GB2312" w:cs="仿宋_GB2312"/>
          <w:color w:val="auto"/>
          <w:szCs w:val="21"/>
          <w:highlight w:val="none"/>
        </w:rPr>
        <w:t>法律成立的一家制造商，主要营业地点设在</w:t>
      </w:r>
      <w:r>
        <w:rPr>
          <w:rFonts w:hint="eastAsia" w:ascii="仿宋_GB2312" w:hAnsi="仿宋_GB2312" w:eastAsia="仿宋_GB2312" w:cs="仿宋_GB2312"/>
          <w:color w:val="auto"/>
          <w:szCs w:val="21"/>
          <w:highlight w:val="none"/>
          <w:u w:val="single"/>
        </w:rPr>
        <w:t>（制造商地址）</w:t>
      </w:r>
      <w:r>
        <w:rPr>
          <w:rFonts w:hint="eastAsia" w:ascii="仿宋_GB2312" w:hAnsi="仿宋_GB2312" w:eastAsia="仿宋_GB2312" w:cs="仿宋_GB2312"/>
          <w:color w:val="auto"/>
          <w:szCs w:val="21"/>
          <w:highlight w:val="none"/>
        </w:rPr>
        <w:t>。兹指派按</w:t>
      </w:r>
      <w:r>
        <w:rPr>
          <w:rFonts w:hint="eastAsia" w:ascii="仿宋_GB2312" w:hAnsi="仿宋_GB2312" w:eastAsia="仿宋_GB2312" w:cs="仿宋_GB2312"/>
          <w:color w:val="auto"/>
          <w:szCs w:val="21"/>
          <w:highlight w:val="none"/>
          <w:u w:val="single"/>
        </w:rPr>
        <w:t>（国家名称）</w:t>
      </w:r>
      <w:r>
        <w:rPr>
          <w:rFonts w:hint="eastAsia" w:ascii="仿宋_GB2312" w:hAnsi="仿宋_GB2312" w:eastAsia="仿宋_GB2312" w:cs="仿宋_GB2312"/>
          <w:color w:val="auto"/>
          <w:szCs w:val="21"/>
          <w:highlight w:val="none"/>
        </w:rPr>
        <w:t>的法律正式成立的，主要营业地点设在</w:t>
      </w:r>
      <w:r>
        <w:rPr>
          <w:rFonts w:hint="eastAsia" w:ascii="仿宋_GB2312" w:hAnsi="仿宋_GB2312" w:eastAsia="仿宋_GB2312" w:cs="仿宋_GB2312"/>
          <w:color w:val="auto"/>
          <w:szCs w:val="21"/>
          <w:highlight w:val="none"/>
          <w:u w:val="single"/>
        </w:rPr>
        <w:t>（投标人地址）</w:t>
      </w:r>
      <w:r>
        <w:rPr>
          <w:rFonts w:hint="eastAsia" w:ascii="仿宋_GB2312" w:hAnsi="仿宋_GB2312" w:eastAsia="仿宋_GB2312" w:cs="仿宋_GB2312"/>
          <w:color w:val="auto"/>
          <w:szCs w:val="21"/>
          <w:highlight w:val="none"/>
        </w:rPr>
        <w:t>的</w:t>
      </w:r>
      <w:r>
        <w:rPr>
          <w:rFonts w:hint="eastAsia" w:ascii="仿宋_GB2312" w:hAnsi="仿宋_GB2312" w:eastAsia="仿宋_GB2312" w:cs="仿宋_GB2312"/>
          <w:color w:val="auto"/>
          <w:szCs w:val="21"/>
          <w:highlight w:val="none"/>
          <w:u w:val="single"/>
        </w:rPr>
        <w:t>（投标人名称）</w:t>
      </w:r>
      <w:r>
        <w:rPr>
          <w:rFonts w:hint="eastAsia" w:ascii="仿宋_GB2312" w:hAnsi="仿宋_GB2312" w:eastAsia="仿宋_GB2312" w:cs="仿宋_GB2312"/>
          <w:color w:val="auto"/>
          <w:szCs w:val="21"/>
          <w:highlight w:val="none"/>
        </w:rPr>
        <w:t>作为我方真正的合法的代理人进行下列有效的活动：</w:t>
      </w:r>
    </w:p>
    <w:p>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（1）代表我方办理贵方</w:t>
      </w:r>
      <w:r>
        <w:rPr>
          <w:rFonts w:hint="eastAsia" w:ascii="仿宋_GB2312" w:hAnsi="仿宋_GB2312" w:eastAsia="仿宋_GB2312" w:cs="仿宋_GB2312"/>
          <w:color w:val="auto"/>
          <w:szCs w:val="21"/>
          <w:highlight w:val="none"/>
          <w:u w:val="single"/>
        </w:rPr>
        <w:t xml:space="preserve"> （项目编号、项目名称、包号）</w:t>
      </w:r>
      <w:r>
        <w:rPr>
          <w:rFonts w:hint="eastAsia" w:ascii="仿宋_GB2312" w:hAnsi="仿宋_GB2312" w:eastAsia="仿宋_GB2312" w:cs="仿宋_GB2312"/>
          <w:color w:val="auto"/>
          <w:szCs w:val="21"/>
          <w:highlight w:val="none"/>
        </w:rPr>
        <w:t xml:space="preserve"> 投标邀请要求提供的由我方制造的货物的有关事宜，并对我方具有约束力。</w:t>
      </w:r>
    </w:p>
    <w:p>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（2）作为制造商，我方保证以投标合作者来约束自己，并对该投标共同和分别承担招标文件中所规定的义务。</w:t>
      </w:r>
    </w:p>
    <w:p>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（3）我方兹授予</w:t>
      </w:r>
      <w:r>
        <w:rPr>
          <w:rFonts w:hint="eastAsia" w:ascii="仿宋_GB2312" w:hAnsi="仿宋_GB2312" w:eastAsia="仿宋_GB2312" w:cs="仿宋_GB2312"/>
          <w:color w:val="auto"/>
          <w:szCs w:val="21"/>
          <w:highlight w:val="none"/>
          <w:u w:val="single"/>
        </w:rPr>
        <w:t xml:space="preserve"> （投标人名称） </w:t>
      </w:r>
      <w:r>
        <w:rPr>
          <w:rFonts w:hint="eastAsia" w:ascii="仿宋_GB2312" w:hAnsi="仿宋_GB2312" w:eastAsia="仿宋_GB2312" w:cs="仿宋_GB2312"/>
          <w:color w:val="auto"/>
          <w:szCs w:val="21"/>
          <w:highlight w:val="none"/>
        </w:rPr>
        <w:t xml:space="preserve">全权办理和履行上述我方为完成上述各点所必须的事宜，具有替换或撤销的全权。兹确认 </w:t>
      </w:r>
      <w:r>
        <w:rPr>
          <w:rFonts w:hint="eastAsia" w:ascii="仿宋_GB2312" w:hAnsi="仿宋_GB2312" w:eastAsia="仿宋_GB2312" w:cs="仿宋_GB2312"/>
          <w:color w:val="auto"/>
          <w:szCs w:val="21"/>
          <w:highlight w:val="none"/>
          <w:u w:val="single"/>
        </w:rPr>
        <w:t xml:space="preserve">（投标人名称） </w:t>
      </w:r>
      <w:r>
        <w:rPr>
          <w:rFonts w:hint="eastAsia" w:ascii="仿宋_GB2312" w:hAnsi="仿宋_GB2312" w:eastAsia="仿宋_GB2312" w:cs="仿宋_GB2312"/>
          <w:color w:val="auto"/>
          <w:szCs w:val="21"/>
          <w:highlight w:val="none"/>
        </w:rPr>
        <w:t>或其正式授权代表依此合法地办理一切事宜。</w:t>
      </w:r>
    </w:p>
    <w:p>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（4）我方于</w:t>
      </w:r>
      <w:r>
        <w:rPr>
          <w:rFonts w:hint="eastAsia" w:ascii="仿宋_GB2312" w:hAnsi="仿宋_GB2312" w:eastAsia="仿宋_GB2312" w:cs="仿宋_GB2312"/>
          <w:color w:val="auto"/>
          <w:szCs w:val="21"/>
          <w:highlight w:val="none"/>
          <w:u w:val="single"/>
        </w:rPr>
        <w:t xml:space="preserve"> 年 月 日</w:t>
      </w:r>
      <w:r>
        <w:rPr>
          <w:rFonts w:hint="eastAsia" w:ascii="仿宋_GB2312" w:hAnsi="仿宋_GB2312" w:eastAsia="仿宋_GB2312" w:cs="仿宋_GB2312"/>
          <w:color w:val="auto"/>
          <w:szCs w:val="21"/>
          <w:highlight w:val="none"/>
        </w:rPr>
        <w:t>签署本文件，</w:t>
      </w:r>
      <w:r>
        <w:rPr>
          <w:rFonts w:hint="eastAsia" w:ascii="仿宋_GB2312" w:hAnsi="仿宋_GB2312" w:eastAsia="仿宋_GB2312" w:cs="仿宋_GB2312"/>
          <w:color w:val="auto"/>
          <w:szCs w:val="21"/>
          <w:highlight w:val="none"/>
          <w:u w:val="single"/>
        </w:rPr>
        <w:t xml:space="preserve"> （投标人名称）</w:t>
      </w:r>
      <w:r>
        <w:rPr>
          <w:rFonts w:hint="eastAsia" w:ascii="仿宋_GB2312" w:hAnsi="仿宋_GB2312" w:eastAsia="仿宋_GB2312" w:cs="仿宋_GB2312"/>
          <w:color w:val="auto"/>
          <w:szCs w:val="21"/>
          <w:highlight w:val="none"/>
        </w:rPr>
        <w:t>于</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日接受此件，以此为证。</w:t>
      </w:r>
    </w:p>
    <w:p>
      <w:pPr>
        <w:spacing w:line="360" w:lineRule="auto"/>
        <w:ind w:firstLine="420" w:firstLineChars="200"/>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制造商名称（加盖单位公章）：</w:t>
      </w:r>
      <w:r>
        <w:rPr>
          <w:rFonts w:hint="eastAsia" w:ascii="仿宋_GB2312" w:hAnsi="仿宋_GB2312" w:eastAsia="仿宋_GB2312" w:cs="仿宋_GB2312"/>
          <w:color w:val="auto"/>
          <w:szCs w:val="21"/>
          <w:highlight w:val="none"/>
          <w:u w:val="single"/>
        </w:rPr>
        <w:t xml:space="preserve">               </w:t>
      </w:r>
    </w:p>
    <w:p>
      <w:pPr>
        <w:spacing w:line="360" w:lineRule="auto"/>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签字人职务和部门：</w:t>
      </w:r>
      <w:r>
        <w:rPr>
          <w:rFonts w:hint="eastAsia" w:ascii="仿宋_GB2312" w:hAnsi="仿宋_GB2312" w:eastAsia="仿宋_GB2312" w:cs="仿宋_GB2312"/>
          <w:color w:val="auto"/>
          <w:szCs w:val="21"/>
          <w:highlight w:val="none"/>
          <w:u w:val="single"/>
        </w:rPr>
        <w:t xml:space="preserve">                         </w:t>
      </w:r>
    </w:p>
    <w:p>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签字人姓名：</w:t>
      </w:r>
      <w:r>
        <w:rPr>
          <w:rFonts w:hint="eastAsia" w:ascii="仿宋_GB2312" w:hAnsi="仿宋_GB2312" w:eastAsia="仿宋_GB2312" w:cs="仿宋_GB2312"/>
          <w:color w:val="auto"/>
          <w:szCs w:val="21"/>
          <w:highlight w:val="none"/>
          <w:u w:val="single"/>
        </w:rPr>
        <w:t xml:space="preserve">                               </w:t>
      </w:r>
    </w:p>
    <w:p>
      <w:pPr>
        <w:spacing w:line="360" w:lineRule="auto"/>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签字人（签字）：</w:t>
      </w:r>
      <w:r>
        <w:rPr>
          <w:rFonts w:hint="eastAsia" w:ascii="仿宋_GB2312" w:hAnsi="仿宋_GB2312" w:eastAsia="仿宋_GB2312" w:cs="仿宋_GB2312"/>
          <w:color w:val="auto"/>
          <w:szCs w:val="21"/>
          <w:highlight w:val="none"/>
          <w:u w:val="single"/>
        </w:rPr>
        <w:t xml:space="preserve">                           </w:t>
      </w:r>
    </w:p>
    <w:p>
      <w:pPr>
        <w:spacing w:line="360" w:lineRule="auto"/>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日期：</w:t>
      </w:r>
      <w:r>
        <w:rPr>
          <w:rFonts w:hint="eastAsia" w:ascii="仿宋_GB2312" w:hAnsi="仿宋_GB2312" w:eastAsia="仿宋_GB2312" w:cs="仿宋_GB2312"/>
          <w:color w:val="auto"/>
          <w:szCs w:val="21"/>
          <w:highlight w:val="none"/>
          <w:u w:val="single"/>
        </w:rPr>
        <w:t xml:space="preserve">                                     </w:t>
      </w:r>
    </w:p>
    <w:p>
      <w:pPr>
        <w:spacing w:line="360" w:lineRule="auto"/>
        <w:ind w:firstLine="420" w:firstLineChars="200"/>
        <w:rPr>
          <w:rFonts w:ascii="仿宋_GB2312" w:hAnsi="仿宋_GB2312" w:eastAsia="仿宋_GB2312" w:cs="仿宋_GB2312"/>
          <w:color w:val="auto"/>
          <w:szCs w:val="21"/>
          <w:highlight w:val="none"/>
          <w:u w:val="single"/>
        </w:rPr>
      </w:pPr>
    </w:p>
    <w:p>
      <w:pPr>
        <w:spacing w:line="360" w:lineRule="auto"/>
        <w:ind w:firstLine="420" w:firstLineChars="200"/>
        <w:rPr>
          <w:rFonts w:ascii="仿宋_GB2312" w:hAnsi="仿宋_GB2312" w:eastAsia="仿宋_GB2312" w:cs="仿宋_GB2312"/>
          <w:color w:val="auto"/>
          <w:szCs w:val="21"/>
          <w:highlight w:val="none"/>
          <w:u w:val="single"/>
        </w:rPr>
      </w:pPr>
    </w:p>
    <w:p>
      <w:pPr>
        <w:spacing w:line="360" w:lineRule="auto"/>
        <w:ind w:firstLine="420" w:firstLineChars="200"/>
        <w:rPr>
          <w:rFonts w:ascii="仿宋_GB2312" w:hAnsi="仿宋_GB2312" w:eastAsia="仿宋_GB2312" w:cs="仿宋_GB2312"/>
          <w:color w:val="auto"/>
          <w:szCs w:val="21"/>
          <w:highlight w:val="none"/>
        </w:rPr>
      </w:pPr>
    </w:p>
    <w:p>
      <w:pPr>
        <w:spacing w:line="360" w:lineRule="auto"/>
        <w:ind w:firstLine="420" w:firstLineChars="200"/>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1"/>
          <w:highlight w:val="none"/>
        </w:rPr>
        <w:t>（以上格式仅供参考，投标人就以上内容自拟格式，但必须体现出制造商名称及地址、被授权单位名称及地址，授权事项中要求明确体现出制造商同意对投标人提供其制造的货物及相关伴随服务等内容）</w:t>
      </w:r>
      <w:r>
        <w:rPr>
          <w:rFonts w:hint="eastAsia" w:ascii="仿宋_GB2312" w:hAnsi="仿宋_GB2312" w:eastAsia="仿宋_GB2312" w:cs="仿宋_GB2312"/>
          <w:color w:val="auto"/>
          <w:szCs w:val="28"/>
          <w:highlight w:val="none"/>
        </w:rPr>
        <w:br w:type="page"/>
      </w:r>
      <w:r>
        <w:rPr>
          <w:rFonts w:hint="eastAsia" w:ascii="仿宋_GB2312" w:hAnsi="仿宋_GB2312" w:eastAsia="仿宋_GB2312" w:cs="仿宋_GB2312"/>
          <w:b/>
          <w:color w:val="auto"/>
          <w:sz w:val="28"/>
          <w:szCs w:val="28"/>
          <w:highlight w:val="none"/>
        </w:rPr>
        <w:t>格式17</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投标人售后服务承诺书</w:t>
      </w:r>
    </w:p>
    <w:p>
      <w:pPr>
        <w:spacing w:before="319" w:beforeLines="100" w:after="319" w:afterLines="100" w:line="480" w:lineRule="exact"/>
        <w:ind w:right="630" w:rightChars="300" w:firstLine="3080" w:firstLineChars="11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（格式自拟）</w:t>
      </w:r>
    </w:p>
    <w:p>
      <w:pPr>
        <w:spacing w:before="319" w:beforeLines="100" w:after="319" w:afterLines="100" w:line="480" w:lineRule="exact"/>
        <w:ind w:right="630" w:rightChars="300"/>
        <w:jc w:val="left"/>
        <w:rPr>
          <w:rFonts w:ascii="仿宋_GB2312" w:hAnsi="仿宋_GB2312" w:eastAsia="仿宋_GB2312" w:cs="仿宋_GB2312"/>
          <w:b/>
          <w:color w:val="auto"/>
          <w:sz w:val="28"/>
          <w:szCs w:val="28"/>
          <w:highlight w:val="none"/>
        </w:rPr>
      </w:pPr>
    </w:p>
    <w:p>
      <w:pPr>
        <w:pStyle w:val="17"/>
        <w:rPr>
          <w:color w:val="auto"/>
          <w:highlight w:val="none"/>
        </w:rPr>
      </w:pPr>
    </w:p>
    <w:p>
      <w:pPr>
        <w:spacing w:line="480" w:lineRule="auto"/>
        <w:rPr>
          <w:rFonts w:ascii="仿宋_GB2312" w:hAnsi="仿宋_GB2312" w:eastAsia="仿宋_GB2312" w:cs="仿宋_GB2312"/>
          <w:color w:val="auto"/>
          <w:highlight w:val="none"/>
        </w:rPr>
      </w:pPr>
    </w:p>
    <w:p>
      <w:pPr>
        <w:spacing w:line="480" w:lineRule="auto"/>
        <w:rPr>
          <w:rFonts w:ascii="仿宋_GB2312" w:hAnsi="仿宋_GB2312" w:eastAsia="仿宋_GB2312" w:cs="仿宋_GB2312"/>
          <w:color w:val="auto"/>
          <w:highlight w:val="none"/>
        </w:rPr>
      </w:pPr>
    </w:p>
    <w:p>
      <w:pPr>
        <w:spacing w:line="480" w:lineRule="auto"/>
        <w:rPr>
          <w:rFonts w:ascii="仿宋_GB2312" w:hAnsi="仿宋_GB2312" w:eastAsia="仿宋_GB2312" w:cs="仿宋_GB2312"/>
          <w:color w:val="auto"/>
          <w:highlight w:val="none"/>
        </w:rPr>
      </w:pPr>
    </w:p>
    <w:p>
      <w:pPr>
        <w:spacing w:line="480" w:lineRule="auto"/>
        <w:rPr>
          <w:rFonts w:ascii="仿宋_GB2312" w:hAnsi="仿宋_GB2312" w:eastAsia="仿宋_GB2312" w:cs="仿宋_GB2312"/>
          <w:color w:val="auto"/>
          <w:highlight w:val="none"/>
        </w:rPr>
      </w:pPr>
    </w:p>
    <w:p>
      <w:pPr>
        <w:spacing w:line="480" w:lineRule="auto"/>
        <w:rPr>
          <w:rFonts w:ascii="仿宋_GB2312" w:hAnsi="仿宋_GB2312" w:eastAsia="仿宋_GB2312" w:cs="仿宋_GB2312"/>
          <w:color w:val="auto"/>
          <w:highlight w:val="none"/>
        </w:rPr>
      </w:pP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投标人名称（加盖单位公章）：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w:t>
      </w:r>
      <w:r>
        <w:rPr>
          <w:rFonts w:hint="eastAsia" w:ascii="仿宋_GB2312" w:hAnsi="仿宋_GB2312" w:eastAsia="仿宋_GB2312" w:cs="仿宋_GB2312"/>
          <w:color w:val="auto"/>
          <w:szCs w:val="21"/>
          <w:highlight w:val="none"/>
        </w:rPr>
        <w:t>非法人组织负责人）或</w:t>
      </w:r>
      <w:r>
        <w:rPr>
          <w:rFonts w:hint="eastAsia" w:ascii="仿宋_GB2312" w:hAnsi="仿宋_GB2312" w:eastAsia="仿宋_GB2312" w:cs="仿宋_GB2312"/>
          <w:color w:val="auto"/>
          <w:highlight w:val="none"/>
        </w:rPr>
        <w:t>其</w:t>
      </w:r>
      <w:r>
        <w:rPr>
          <w:rFonts w:hint="eastAsia" w:ascii="仿宋_GB2312" w:hAnsi="仿宋_GB2312" w:eastAsia="仿宋_GB2312" w:cs="仿宋_GB2312"/>
          <w:color w:val="auto"/>
          <w:szCs w:val="21"/>
          <w:highlight w:val="none"/>
        </w:rPr>
        <w:t>授权</w:t>
      </w:r>
      <w:r>
        <w:rPr>
          <w:rFonts w:hint="eastAsia" w:ascii="仿宋_GB2312" w:hAnsi="仿宋_GB2312" w:eastAsia="仿宋_GB2312" w:cs="仿宋_GB2312"/>
          <w:color w:val="auto"/>
          <w:highlight w:val="none"/>
        </w:rPr>
        <w:t>委托</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highlight w:val="none"/>
        </w:rPr>
        <w:t>(签字或盖章)：</w:t>
      </w:r>
      <w:r>
        <w:rPr>
          <w:rFonts w:hint="eastAsia" w:ascii="仿宋_GB2312" w:hAnsi="仿宋_GB2312" w:eastAsia="仿宋_GB2312" w:cs="仿宋_GB2312"/>
          <w:color w:val="auto"/>
          <w:highlight w:val="none"/>
          <w:u w:val="single"/>
        </w:rPr>
        <w:t xml:space="preserve">           </w:t>
      </w:r>
    </w:p>
    <w:p>
      <w:pPr>
        <w:spacing w:line="48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w:t>
      </w:r>
      <w:r>
        <w:rPr>
          <w:rFonts w:hint="eastAsia" w:ascii="仿宋_GB2312" w:hAnsi="仿宋_GB2312" w:eastAsia="仿宋_GB2312" w:cs="仿宋_GB2312"/>
          <w:color w:val="auto"/>
          <w:highlight w:val="none"/>
          <w:u w:val="single"/>
        </w:rPr>
        <w:t xml:space="preserve">                </w:t>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br w:type="page"/>
      </w:r>
      <w:r>
        <w:rPr>
          <w:rFonts w:hint="eastAsia" w:ascii="仿宋_GB2312" w:hAnsi="仿宋_GB2312" w:eastAsia="仿宋_GB2312" w:cs="仿宋_GB2312"/>
          <w:color w:val="auto"/>
          <w:szCs w:val="28"/>
          <w:highlight w:val="none"/>
        </w:rPr>
        <w:t>格式18</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中小企业声明函（货物）</w:t>
      </w:r>
    </w:p>
    <w:p>
      <w:pPr>
        <w:pStyle w:val="3"/>
        <w:autoSpaceDE w:val="0"/>
        <w:autoSpaceDN w:val="0"/>
        <w:spacing w:before="55" w:line="500" w:lineRule="exact"/>
        <w:ind w:right="415" w:firstLine="640"/>
        <w:rPr>
          <w:rFonts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pacing w:val="-2"/>
          <w:szCs w:val="21"/>
          <w:highlight w:val="none"/>
        </w:rPr>
        <w:t>本公司</w:t>
      </w:r>
      <w:r>
        <w:rPr>
          <w:rFonts w:hint="eastAsia" w:ascii="仿宋_GB2312" w:hAnsi="仿宋_GB2312" w:eastAsia="仿宋_GB2312" w:cs="仿宋_GB2312"/>
          <w:color w:val="auto"/>
          <w:szCs w:val="21"/>
          <w:highlight w:val="none"/>
        </w:rPr>
        <w:t>（联合体</w:t>
      </w:r>
      <w:r>
        <w:rPr>
          <w:rFonts w:hint="eastAsia" w:ascii="仿宋_GB2312" w:hAnsi="仿宋_GB2312" w:eastAsia="仿宋_GB2312" w:cs="仿宋_GB2312"/>
          <w:color w:val="auto"/>
          <w:spacing w:val="-5"/>
          <w:szCs w:val="21"/>
          <w:highlight w:val="none"/>
        </w:rPr>
        <w:t>）</w:t>
      </w:r>
      <w:r>
        <w:rPr>
          <w:rFonts w:hint="eastAsia" w:ascii="仿宋_GB2312" w:hAnsi="仿宋_GB2312" w:eastAsia="仿宋_GB2312" w:cs="仿宋_GB2312"/>
          <w:color w:val="auto"/>
          <w:spacing w:val="-2"/>
          <w:szCs w:val="21"/>
          <w:highlight w:val="none"/>
        </w:rPr>
        <w:t>郑重声明，根据《政府采购促进中小</w:t>
      </w:r>
      <w:r>
        <w:rPr>
          <w:rFonts w:hint="eastAsia" w:ascii="仿宋_GB2312" w:hAnsi="仿宋_GB2312" w:eastAsia="仿宋_GB2312" w:cs="仿宋_GB2312"/>
          <w:color w:val="auto"/>
          <w:spacing w:val="-18"/>
          <w:szCs w:val="21"/>
          <w:highlight w:val="none"/>
        </w:rPr>
        <w:t>企业发展管</w:t>
      </w:r>
      <w:r>
        <w:rPr>
          <w:rFonts w:hint="eastAsia" w:ascii="仿宋_GB2312" w:hAnsi="仿宋_GB2312" w:eastAsia="仿宋_GB2312" w:cs="仿宋_GB2312"/>
          <w:color w:val="auto"/>
          <w:szCs w:val="21"/>
          <w:highlight w:val="none"/>
        </w:rPr>
        <w:t>理办法》（财库﹝2020﹞46 号）的规定，本公司（联合体）参加</w:t>
      </w:r>
      <w:r>
        <w:rPr>
          <w:rFonts w:hint="eastAsia" w:ascii="仿宋_GB2312" w:hAnsi="仿宋_GB2312" w:eastAsia="仿宋_GB2312" w:cs="仿宋_GB2312"/>
          <w:color w:val="auto"/>
          <w:szCs w:val="21"/>
          <w:highlight w:val="none"/>
          <w:u w:val="single"/>
        </w:rPr>
        <w:t>（单</w:t>
      </w:r>
      <w:r>
        <w:rPr>
          <w:rFonts w:hint="eastAsia" w:ascii="仿宋_GB2312" w:hAnsi="仿宋_GB2312" w:eastAsia="仿宋_GB2312" w:cs="仿宋_GB2312"/>
          <w:color w:val="auto"/>
          <w:szCs w:val="21"/>
          <w:highlight w:val="none"/>
          <w:u w:val="single"/>
          <w:lang w:val="zh-CN"/>
        </w:rPr>
        <w:t>位名称）</w:t>
      </w:r>
      <w:r>
        <w:rPr>
          <w:rFonts w:hint="eastAsia" w:ascii="仿宋_GB2312" w:hAnsi="仿宋_GB2312" w:eastAsia="仿宋_GB2312" w:cs="仿宋_GB2312"/>
          <w:color w:val="auto"/>
          <w:szCs w:val="21"/>
          <w:highlight w:val="none"/>
          <w:lang w:val="zh-CN"/>
        </w:rPr>
        <w:t>的</w:t>
      </w:r>
      <w:r>
        <w:rPr>
          <w:rFonts w:hint="eastAsia" w:ascii="仿宋_GB2312" w:hAnsi="仿宋_GB2312" w:eastAsia="仿宋_GB2312" w:cs="仿宋_GB2312"/>
          <w:color w:val="auto"/>
          <w:szCs w:val="21"/>
          <w:highlight w:val="none"/>
          <w:u w:val="single"/>
          <w:lang w:val="zh-CN"/>
        </w:rPr>
        <w:t>（项目名称）</w:t>
      </w:r>
      <w:r>
        <w:rPr>
          <w:rFonts w:hint="eastAsia" w:ascii="仿宋_GB2312" w:hAnsi="仿宋_GB2312" w:eastAsia="仿宋_GB2312" w:cs="仿宋_GB2312"/>
          <w:color w:val="auto"/>
          <w:szCs w:val="21"/>
          <w:highlight w:val="none"/>
          <w:lang w:val="zh-CN"/>
        </w:rPr>
        <w:t>采购活动，提供的货物全部由符合政策要求的中小企业制造。相关企业（含联合体中的中小企业、签订分包意向协议的中小企业） 的具体情况如下：</w:t>
      </w:r>
    </w:p>
    <w:p>
      <w:pPr>
        <w:pStyle w:val="3"/>
        <w:autoSpaceDE w:val="0"/>
        <w:autoSpaceDN w:val="0"/>
        <w:spacing w:before="55" w:line="500" w:lineRule="exact"/>
        <w:ind w:right="415" w:firstLine="640"/>
        <w:rPr>
          <w:rFonts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 xml:space="preserve"> </w:t>
      </w: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u w:val="single"/>
          <w:lang w:val="zh-CN"/>
        </w:rPr>
        <w:t>（ 标 的 名 称 ）</w:t>
      </w:r>
      <w:r>
        <w:rPr>
          <w:rFonts w:hint="eastAsia" w:ascii="仿宋_GB2312" w:hAnsi="仿宋_GB2312" w:eastAsia="仿宋_GB2312" w:cs="仿宋_GB2312"/>
          <w:color w:val="auto"/>
          <w:szCs w:val="21"/>
          <w:highlight w:val="none"/>
          <w:lang w:val="zh-CN"/>
        </w:rPr>
        <w:t xml:space="preserve"> ， 属 于</w:t>
      </w:r>
      <w:r>
        <w:rPr>
          <w:rFonts w:hint="eastAsia" w:ascii="仿宋_GB2312" w:hAnsi="仿宋_GB2312" w:eastAsia="仿宋_GB2312" w:cs="仿宋_GB2312"/>
          <w:color w:val="auto"/>
          <w:szCs w:val="21"/>
          <w:highlight w:val="none"/>
          <w:u w:val="single"/>
          <w:lang w:val="zh-CN"/>
        </w:rPr>
        <w:t xml:space="preserve"> （ 采 购 文 件 中 明 确 的 所 属 行 业 ）行业</w:t>
      </w:r>
      <w:r>
        <w:rPr>
          <w:rFonts w:hint="eastAsia" w:ascii="仿宋_GB2312" w:hAnsi="仿宋_GB2312" w:eastAsia="仿宋_GB2312" w:cs="仿宋_GB2312"/>
          <w:color w:val="auto"/>
          <w:szCs w:val="21"/>
          <w:highlight w:val="none"/>
          <w:lang w:val="zh-CN"/>
        </w:rPr>
        <w:t>；制造商为</w:t>
      </w:r>
      <w:r>
        <w:rPr>
          <w:rFonts w:hint="eastAsia" w:ascii="仿宋_GB2312" w:hAnsi="仿宋_GB2312" w:eastAsia="仿宋_GB2312" w:cs="仿宋_GB2312"/>
          <w:color w:val="auto"/>
          <w:szCs w:val="21"/>
          <w:highlight w:val="none"/>
          <w:u w:val="single"/>
          <w:lang w:val="zh-CN"/>
        </w:rPr>
        <w:t>（企业名称）</w:t>
      </w:r>
      <w:r>
        <w:rPr>
          <w:rFonts w:hint="eastAsia" w:ascii="仿宋_GB2312" w:hAnsi="仿宋_GB2312" w:eastAsia="仿宋_GB2312" w:cs="仿宋_GB2312"/>
          <w:color w:val="auto"/>
          <w:szCs w:val="21"/>
          <w:highlight w:val="none"/>
          <w:lang w:val="zh-CN"/>
        </w:rPr>
        <w:t>，从业人员</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lang w:val="zh-CN"/>
        </w:rPr>
        <w:t>人，营业收入为</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u w:val="single"/>
          <w:lang w:val="zh-CN"/>
        </w:rPr>
        <w:tab/>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lang w:val="zh-CN"/>
        </w:rPr>
        <w:t>万元，资产总额为</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万元</w:t>
      </w: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rFonts w:hint="eastAsia" w:ascii="仿宋_GB2312" w:hAnsi="仿宋_GB2312" w:eastAsia="仿宋_GB2312" w:cs="仿宋_GB2312"/>
          <w:color w:val="auto"/>
          <w:spacing w:val="-12"/>
          <w:position w:val="16"/>
          <w:szCs w:val="21"/>
          <w:highlight w:val="none"/>
        </w:rPr>
        <w:t>1</w:t>
      </w:r>
      <w:r>
        <w:rPr>
          <w:rFonts w:hint="eastAsia" w:ascii="仿宋_GB2312" w:hAnsi="仿宋_GB2312" w:eastAsia="仿宋_GB2312" w:cs="仿宋_GB2312"/>
          <w:color w:val="auto"/>
          <w:spacing w:val="-12"/>
          <w:position w:val="16"/>
          <w:szCs w:val="21"/>
          <w:highlight w:val="none"/>
        </w:rPr>
        <w:fldChar w:fldCharType="end"/>
      </w:r>
      <w:r>
        <w:rPr>
          <w:rFonts w:hint="eastAsia" w:ascii="仿宋_GB2312" w:hAnsi="仿宋_GB2312" w:eastAsia="仿宋_GB2312" w:cs="仿宋_GB2312"/>
          <w:color w:val="auto"/>
          <w:szCs w:val="21"/>
          <w:highlight w:val="none"/>
          <w:lang w:val="zh-CN"/>
        </w:rPr>
        <w:t>，属于</w:t>
      </w:r>
      <w:r>
        <w:rPr>
          <w:rFonts w:hint="eastAsia" w:ascii="仿宋_GB2312" w:hAnsi="仿宋_GB2312" w:eastAsia="仿宋_GB2312" w:cs="仿宋_GB2312"/>
          <w:color w:val="auto"/>
          <w:szCs w:val="21"/>
          <w:highlight w:val="none"/>
          <w:u w:val="single"/>
          <w:lang w:val="zh-CN"/>
        </w:rPr>
        <w:t>（中型企业、小型企业、微型企业）</w:t>
      </w:r>
      <w:r>
        <w:rPr>
          <w:rFonts w:hint="eastAsia" w:ascii="仿宋_GB2312" w:hAnsi="仿宋_GB2312" w:eastAsia="仿宋_GB2312" w:cs="仿宋_GB2312"/>
          <w:color w:val="auto"/>
          <w:szCs w:val="21"/>
          <w:highlight w:val="none"/>
          <w:lang w:val="zh-CN"/>
        </w:rPr>
        <w:t>；</w:t>
      </w:r>
    </w:p>
    <w:p>
      <w:pPr>
        <w:pStyle w:val="3"/>
        <w:autoSpaceDE w:val="0"/>
        <w:autoSpaceDN w:val="0"/>
        <w:spacing w:before="55" w:line="500" w:lineRule="exact"/>
        <w:ind w:right="415" w:firstLine="640"/>
        <w:rPr>
          <w:rFonts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u w:val="single"/>
          <w:lang w:val="zh-CN"/>
        </w:rPr>
        <w:t>（ 标 的 名 称 ）</w:t>
      </w:r>
      <w:r>
        <w:rPr>
          <w:rFonts w:hint="eastAsia" w:ascii="仿宋_GB2312" w:hAnsi="仿宋_GB2312" w:eastAsia="仿宋_GB2312" w:cs="仿宋_GB2312"/>
          <w:color w:val="auto"/>
          <w:szCs w:val="21"/>
          <w:highlight w:val="none"/>
          <w:lang w:val="zh-CN"/>
        </w:rPr>
        <w:t xml:space="preserve"> ， 属 于</w:t>
      </w:r>
      <w:r>
        <w:rPr>
          <w:rFonts w:hint="eastAsia" w:ascii="仿宋_GB2312" w:hAnsi="仿宋_GB2312" w:eastAsia="仿宋_GB2312" w:cs="仿宋_GB2312"/>
          <w:color w:val="auto"/>
          <w:szCs w:val="21"/>
          <w:highlight w:val="none"/>
          <w:u w:val="single"/>
          <w:lang w:val="zh-CN"/>
        </w:rPr>
        <w:t xml:space="preserve"> （ 采 购 文 件 中 明 确 的 所 属 行 业 ）行业</w:t>
      </w:r>
      <w:r>
        <w:rPr>
          <w:rFonts w:hint="eastAsia" w:ascii="仿宋_GB2312" w:hAnsi="仿宋_GB2312" w:eastAsia="仿宋_GB2312" w:cs="仿宋_GB2312"/>
          <w:color w:val="auto"/>
          <w:szCs w:val="21"/>
          <w:highlight w:val="none"/>
          <w:lang w:val="zh-CN"/>
        </w:rPr>
        <w:t>；制造商为</w:t>
      </w:r>
      <w:r>
        <w:rPr>
          <w:rFonts w:hint="eastAsia" w:ascii="仿宋_GB2312" w:hAnsi="仿宋_GB2312" w:eastAsia="仿宋_GB2312" w:cs="仿宋_GB2312"/>
          <w:color w:val="auto"/>
          <w:szCs w:val="21"/>
          <w:highlight w:val="none"/>
          <w:u w:val="single"/>
          <w:lang w:val="zh-CN"/>
        </w:rPr>
        <w:t>（企业名称）</w:t>
      </w:r>
      <w:r>
        <w:rPr>
          <w:rFonts w:hint="eastAsia" w:ascii="仿宋_GB2312" w:hAnsi="仿宋_GB2312" w:eastAsia="仿宋_GB2312" w:cs="仿宋_GB2312"/>
          <w:color w:val="auto"/>
          <w:szCs w:val="21"/>
          <w:highlight w:val="none"/>
          <w:lang w:val="zh-CN"/>
        </w:rPr>
        <w:t>，从业人员</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lang w:val="zh-CN"/>
        </w:rPr>
        <w:t>人，营业收入为</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u w:val="single"/>
          <w:lang w:val="zh-CN"/>
        </w:rPr>
        <w:tab/>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lang w:val="zh-CN"/>
        </w:rPr>
        <w:t>万元，资产总额为</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万元</w:t>
      </w: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rFonts w:hint="eastAsia" w:ascii="仿宋_GB2312" w:hAnsi="仿宋_GB2312" w:eastAsia="仿宋_GB2312" w:cs="仿宋_GB2312"/>
          <w:color w:val="auto"/>
          <w:spacing w:val="-12"/>
          <w:position w:val="16"/>
          <w:szCs w:val="21"/>
          <w:highlight w:val="none"/>
        </w:rPr>
        <w:t>1</w:t>
      </w:r>
      <w:r>
        <w:rPr>
          <w:rFonts w:hint="eastAsia" w:ascii="仿宋_GB2312" w:hAnsi="仿宋_GB2312" w:eastAsia="仿宋_GB2312" w:cs="仿宋_GB2312"/>
          <w:color w:val="auto"/>
          <w:spacing w:val="-12"/>
          <w:position w:val="16"/>
          <w:szCs w:val="21"/>
          <w:highlight w:val="none"/>
        </w:rPr>
        <w:fldChar w:fldCharType="end"/>
      </w:r>
      <w:r>
        <w:rPr>
          <w:rFonts w:hint="eastAsia" w:ascii="仿宋_GB2312" w:hAnsi="仿宋_GB2312" w:eastAsia="仿宋_GB2312" w:cs="仿宋_GB2312"/>
          <w:color w:val="auto"/>
          <w:szCs w:val="21"/>
          <w:highlight w:val="none"/>
          <w:lang w:val="zh-CN"/>
        </w:rPr>
        <w:t>，属于</w:t>
      </w:r>
      <w:r>
        <w:rPr>
          <w:rFonts w:hint="eastAsia" w:ascii="仿宋_GB2312" w:hAnsi="仿宋_GB2312" w:eastAsia="仿宋_GB2312" w:cs="仿宋_GB2312"/>
          <w:color w:val="auto"/>
          <w:szCs w:val="21"/>
          <w:highlight w:val="none"/>
          <w:u w:val="single"/>
          <w:lang w:val="zh-CN"/>
        </w:rPr>
        <w:t>（中型企业、小型企业、微型企业）</w:t>
      </w:r>
      <w:r>
        <w:rPr>
          <w:rFonts w:hint="eastAsia" w:ascii="仿宋_GB2312" w:hAnsi="仿宋_GB2312" w:eastAsia="仿宋_GB2312" w:cs="仿宋_GB2312"/>
          <w:color w:val="auto"/>
          <w:szCs w:val="21"/>
          <w:highlight w:val="none"/>
          <w:lang w:val="zh-CN"/>
        </w:rPr>
        <w:t>；</w:t>
      </w:r>
    </w:p>
    <w:p>
      <w:pPr>
        <w:pStyle w:val="3"/>
        <w:autoSpaceDE w:val="0"/>
        <w:autoSpaceDN w:val="0"/>
        <w:spacing w:line="500" w:lineRule="exact"/>
        <w:ind w:left="860"/>
        <w:rPr>
          <w:rFonts w:ascii="仿宋_GB2312" w:hAnsi="仿宋_GB2312" w:eastAsia="仿宋_GB2312" w:cs="仿宋_GB2312"/>
          <w:color w:val="auto"/>
          <w:spacing w:val="-2"/>
          <w:szCs w:val="21"/>
          <w:highlight w:val="none"/>
          <w:lang w:val="zh-CN" w:bidi="zh-CN"/>
        </w:rPr>
      </w:pPr>
      <w:r>
        <w:rPr>
          <w:rFonts w:hint="eastAsia" w:ascii="仿宋_GB2312" w:hAnsi="仿宋_GB2312" w:eastAsia="仿宋_GB2312" w:cs="仿宋_GB2312"/>
          <w:color w:val="auto"/>
          <w:spacing w:val="-2"/>
          <w:szCs w:val="21"/>
          <w:highlight w:val="none"/>
          <w:lang w:val="zh-CN" w:bidi="zh-CN"/>
        </w:rPr>
        <w:t>……</w:t>
      </w:r>
    </w:p>
    <w:p>
      <w:pPr>
        <w:pStyle w:val="3"/>
        <w:autoSpaceDE w:val="0"/>
        <w:autoSpaceDN w:val="0"/>
        <w:spacing w:before="105" w:line="500" w:lineRule="exact"/>
        <w:ind w:right="417" w:firstLine="645"/>
        <w:rPr>
          <w:rFonts w:ascii="仿宋_GB2312" w:hAnsi="仿宋_GB2312" w:eastAsia="仿宋_GB2312" w:cs="仿宋_GB2312"/>
          <w:color w:val="auto"/>
          <w:spacing w:val="-2"/>
          <w:szCs w:val="21"/>
          <w:highlight w:val="none"/>
          <w:lang w:val="zh-CN" w:bidi="zh-CN"/>
        </w:rPr>
      </w:pPr>
      <w:r>
        <w:rPr>
          <w:rFonts w:hint="eastAsia" w:ascii="仿宋_GB2312" w:hAnsi="仿宋_GB2312" w:eastAsia="仿宋_GB2312" w:cs="仿宋_GB2312"/>
          <w:color w:val="auto"/>
          <w:spacing w:val="-2"/>
          <w:szCs w:val="21"/>
          <w:highlight w:val="none"/>
          <w:lang w:val="zh-CN" w:bidi="zh-CN"/>
        </w:rPr>
        <w:t>以上企业，不属于大企业的分支机构，不存在控股股东为大企业的情形，也不存在与大企业的负责人为同一人的情形。</w:t>
      </w:r>
    </w:p>
    <w:p>
      <w:pPr>
        <w:pStyle w:val="3"/>
        <w:autoSpaceDE w:val="0"/>
        <w:autoSpaceDN w:val="0"/>
        <w:spacing w:line="500" w:lineRule="exact"/>
        <w:ind w:right="372" w:firstLine="645"/>
        <w:rPr>
          <w:rFonts w:ascii="仿宋_GB2312" w:hAnsi="仿宋_GB2312" w:eastAsia="仿宋_GB2312" w:cs="仿宋_GB2312"/>
          <w:color w:val="auto"/>
          <w:spacing w:val="-2"/>
          <w:szCs w:val="21"/>
          <w:highlight w:val="none"/>
          <w:lang w:val="zh-CN" w:bidi="zh-CN"/>
        </w:rPr>
      </w:pPr>
      <w:r>
        <w:rPr>
          <w:rFonts w:hint="eastAsia" w:ascii="仿宋_GB2312" w:hAnsi="仿宋_GB2312" w:eastAsia="仿宋_GB2312" w:cs="仿宋_GB2312"/>
          <w:color w:val="auto"/>
          <w:spacing w:val="-2"/>
          <w:szCs w:val="21"/>
          <w:highlight w:val="none"/>
          <w:lang w:val="zh-CN" w:bidi="zh-CN"/>
        </w:rPr>
        <w:t>本企业对上述声明内容的真实性负责。如有虚假，将依法承担相应责任。</w:t>
      </w:r>
    </w:p>
    <w:p>
      <w:pPr>
        <w:pStyle w:val="3"/>
        <w:autoSpaceDE w:val="0"/>
        <w:autoSpaceDN w:val="0"/>
        <w:spacing w:before="35" w:line="480" w:lineRule="auto"/>
        <w:ind w:left="4060" w:right="2166"/>
        <w:rPr>
          <w:rFonts w:ascii="仿宋_GB2312" w:hAnsi="仿宋_GB2312" w:eastAsia="仿宋_GB2312" w:cs="仿宋_GB2312"/>
          <w:color w:val="auto"/>
          <w:spacing w:val="-2"/>
          <w:szCs w:val="21"/>
          <w:highlight w:val="none"/>
          <w:lang w:val="zh-CN" w:bidi="zh-CN"/>
        </w:rPr>
      </w:pPr>
    </w:p>
    <w:p>
      <w:pPr>
        <w:pStyle w:val="3"/>
        <w:autoSpaceDE w:val="0"/>
        <w:autoSpaceDN w:val="0"/>
        <w:spacing w:before="35" w:line="480" w:lineRule="auto"/>
        <w:ind w:left="4060" w:right="2166"/>
        <w:rPr>
          <w:rFonts w:ascii="仿宋_GB2312" w:hAnsi="仿宋_GB2312" w:eastAsia="仿宋_GB2312" w:cs="仿宋_GB2312"/>
          <w:color w:val="auto"/>
          <w:spacing w:val="-2"/>
          <w:szCs w:val="21"/>
          <w:highlight w:val="none"/>
          <w:lang w:val="zh-CN" w:bidi="zh-CN"/>
        </w:rPr>
      </w:pPr>
      <w:r>
        <w:rPr>
          <w:rFonts w:hint="eastAsia" w:ascii="仿宋_GB2312" w:hAnsi="仿宋_GB2312" w:eastAsia="仿宋_GB2312" w:cs="仿宋_GB2312"/>
          <w:color w:val="auto"/>
          <w:spacing w:val="-2"/>
          <w:szCs w:val="21"/>
          <w:highlight w:val="none"/>
          <w:lang w:val="zh-CN" w:bidi="zh-CN"/>
        </w:rPr>
        <w:t>企业名称（盖章）：</w:t>
      </w:r>
    </w:p>
    <w:p>
      <w:pPr>
        <w:pStyle w:val="3"/>
        <w:autoSpaceDE w:val="0"/>
        <w:autoSpaceDN w:val="0"/>
        <w:spacing w:before="35" w:line="480" w:lineRule="auto"/>
        <w:ind w:left="4060" w:right="2166"/>
        <w:rPr>
          <w:rFonts w:ascii="仿宋_GB2312" w:hAnsi="仿宋_GB2312" w:eastAsia="仿宋_GB2312" w:cs="仿宋_GB2312"/>
          <w:color w:val="auto"/>
          <w:spacing w:val="-2"/>
          <w:highlight w:val="none"/>
          <w:lang w:val="zh-CN" w:bidi="zh-CN"/>
        </w:rPr>
      </w:pPr>
      <w:r>
        <w:rPr>
          <w:rFonts w:hint="eastAsia" w:ascii="仿宋_GB2312" w:hAnsi="仿宋_GB2312" w:eastAsia="仿宋_GB2312" w:cs="仿宋_GB2312"/>
          <w:color w:val="auto"/>
          <w:spacing w:val="-2"/>
          <w:szCs w:val="21"/>
          <w:highlight w:val="none"/>
          <w:lang w:val="zh-CN" w:bidi="zh-CN"/>
        </w:rPr>
        <w:t>日期：</w:t>
      </w:r>
    </w:p>
    <w:p>
      <w:pPr>
        <w:autoSpaceDE w:val="0"/>
        <w:autoSpaceDN w:val="0"/>
        <w:spacing w:line="440" w:lineRule="exact"/>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position w:val="6"/>
          <w:szCs w:val="21"/>
          <w:highlight w:val="none"/>
        </w:rPr>
        <w:t>1</w:t>
      </w:r>
      <w:r>
        <w:rPr>
          <w:rFonts w:hint="eastAsia" w:ascii="仿宋_GB2312" w:hAnsi="仿宋_GB2312" w:eastAsia="仿宋_GB2312" w:cs="仿宋_GB2312"/>
          <w:color w:val="auto"/>
          <w:szCs w:val="21"/>
          <w:highlight w:val="none"/>
        </w:rPr>
        <w:t>从业人员、营业收入、资产总额填报上一年度数据，无上一年度数据的新成立企业可不填报。</w:t>
      </w:r>
    </w:p>
    <w:p>
      <w:pPr>
        <w:autoSpaceDE w:val="0"/>
        <w:autoSpaceDN w:val="0"/>
        <w:spacing w:line="440" w:lineRule="exact"/>
        <w:ind w:firstLine="420" w:firstLineChars="200"/>
        <w:jc w:val="left"/>
        <w:rPr>
          <w:rFonts w:ascii="仿宋_GB2312" w:hAnsi="仿宋_GB2312" w:eastAsia="仿宋_GB2312" w:cs="仿宋_GB2312"/>
          <w:color w:val="auto"/>
          <w:szCs w:val="21"/>
          <w:highlight w:val="none"/>
        </w:rPr>
      </w:pPr>
    </w:p>
    <w:p>
      <w:pPr>
        <w:autoSpaceDE w:val="0"/>
        <w:autoSpaceDN w:val="0"/>
        <w:spacing w:line="440" w:lineRule="exact"/>
        <w:ind w:firstLine="420" w:firstLineChars="200"/>
        <w:jc w:val="left"/>
        <w:rPr>
          <w:rFonts w:ascii="仿宋_GB2312" w:hAnsi="仿宋_GB2312" w:eastAsia="仿宋_GB2312" w:cs="仿宋_GB2312"/>
          <w:color w:val="auto"/>
          <w:szCs w:val="21"/>
          <w:highlight w:val="none"/>
        </w:rPr>
      </w:pPr>
    </w:p>
    <w:p>
      <w:pPr>
        <w:autoSpaceDE w:val="0"/>
        <w:autoSpaceDN w:val="0"/>
        <w:spacing w:line="440" w:lineRule="exact"/>
        <w:ind w:firstLine="400" w:firstLineChars="200"/>
        <w:jc w:val="left"/>
        <w:rPr>
          <w:rFonts w:ascii="仿宋_GB2312" w:hAnsi="仿宋_GB2312" w:eastAsia="仿宋_GB2312" w:cs="仿宋_GB2312"/>
          <w:color w:val="auto"/>
          <w:spacing w:val="-5"/>
          <w:szCs w:val="21"/>
          <w:highlight w:val="none"/>
          <w:lang w:val="zh-CN" w:bidi="zh-CN"/>
        </w:rPr>
      </w:pPr>
    </w:p>
    <w:p>
      <w:pPr>
        <w:autoSpaceDE w:val="0"/>
        <w:autoSpaceDN w:val="0"/>
        <w:spacing w:line="440" w:lineRule="exact"/>
        <w:ind w:firstLine="400" w:firstLineChars="200"/>
        <w:jc w:val="left"/>
        <w:rPr>
          <w:rFonts w:ascii="仿宋_GB2312" w:hAnsi="仿宋_GB2312" w:eastAsia="仿宋_GB2312" w:cs="仿宋_GB2312"/>
          <w:color w:val="auto"/>
          <w:spacing w:val="-5"/>
          <w:szCs w:val="21"/>
          <w:highlight w:val="none"/>
          <w:lang w:val="zh-CN" w:bidi="zh-CN"/>
        </w:rPr>
      </w:pPr>
      <w:r>
        <w:rPr>
          <w:rFonts w:hint="eastAsia" w:ascii="仿宋_GB2312" w:hAnsi="仿宋_GB2312" w:eastAsia="仿宋_GB2312" w:cs="仿宋_GB2312"/>
          <w:color w:val="auto"/>
          <w:spacing w:val="-5"/>
          <w:szCs w:val="21"/>
          <w:highlight w:val="none"/>
          <w:lang w:val="zh-CN" w:bidi="zh-CN"/>
        </w:rPr>
        <w:t>说明：</w:t>
      </w:r>
    </w:p>
    <w:p>
      <w:pPr>
        <w:autoSpaceDE w:val="0"/>
        <w:autoSpaceDN w:val="0"/>
        <w:spacing w:line="440" w:lineRule="exact"/>
        <w:ind w:firstLine="400" w:firstLineChars="200"/>
        <w:jc w:val="left"/>
        <w:rPr>
          <w:rFonts w:ascii="仿宋_GB2312" w:hAnsi="仿宋_GB2312" w:eastAsia="仿宋_GB2312" w:cs="仿宋_GB2312"/>
          <w:color w:val="auto"/>
          <w:spacing w:val="-5"/>
          <w:szCs w:val="21"/>
          <w:highlight w:val="none"/>
          <w:lang w:bidi="zh-CN"/>
        </w:rPr>
      </w:pPr>
      <w:r>
        <w:rPr>
          <w:rFonts w:hint="eastAsia" w:ascii="仿宋_GB2312" w:hAnsi="仿宋_GB2312" w:eastAsia="仿宋_GB2312" w:cs="仿宋_GB2312"/>
          <w:color w:val="auto"/>
          <w:spacing w:val="-5"/>
          <w:szCs w:val="21"/>
          <w:highlight w:val="none"/>
          <w:lang w:val="zh-CN" w:bidi="zh-CN"/>
        </w:rPr>
        <w:t>“采购文件中明确的所属行业”是指采购标的对应的中小企业划分标准所属行业，本项目中小企业划分标准所属行业为</w:t>
      </w:r>
      <w:r>
        <w:rPr>
          <w:rFonts w:hint="eastAsia" w:ascii="仿宋_GB2312" w:hAnsi="仿宋_GB2312" w:eastAsia="仿宋_GB2312" w:cs="仿宋_GB2312"/>
          <w:color w:val="auto"/>
          <w:spacing w:val="-5"/>
          <w:szCs w:val="21"/>
          <w:highlight w:val="none"/>
          <w:lang w:bidi="zh-CN"/>
        </w:rPr>
        <w:t xml:space="preserve"> </w:t>
      </w:r>
      <w:r>
        <w:rPr>
          <w:rFonts w:hint="eastAsia" w:ascii="仿宋_GB2312" w:hAnsi="仿宋_GB2312" w:eastAsia="仿宋_GB2312" w:cs="仿宋_GB2312"/>
          <w:color w:val="auto"/>
          <w:spacing w:val="-5"/>
          <w:szCs w:val="21"/>
          <w:highlight w:val="none"/>
          <w:u w:val="single"/>
          <w:lang w:bidi="zh-CN"/>
        </w:rPr>
        <w:t xml:space="preserve"> 工业 </w:t>
      </w:r>
      <w:r>
        <w:rPr>
          <w:rFonts w:hint="eastAsia" w:ascii="仿宋_GB2312" w:hAnsi="仿宋_GB2312" w:eastAsia="仿宋_GB2312" w:cs="仿宋_GB2312"/>
          <w:color w:val="auto"/>
          <w:spacing w:val="-5"/>
          <w:szCs w:val="21"/>
          <w:highlight w:val="none"/>
          <w:lang w:bidi="zh-CN"/>
        </w:rPr>
        <w:t>。</w:t>
      </w:r>
    </w:p>
    <w:p>
      <w:pPr>
        <w:autoSpaceDE w:val="0"/>
        <w:autoSpaceDN w:val="0"/>
        <w:spacing w:line="440" w:lineRule="exact"/>
        <w:ind w:firstLine="400" w:firstLineChars="200"/>
        <w:jc w:val="left"/>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pacing w:val="-5"/>
          <w:szCs w:val="21"/>
          <w:highlight w:val="none"/>
          <w:lang w:bidi="zh-CN"/>
        </w:rPr>
        <w:t>供应商应根据《</w:t>
      </w:r>
      <w:r>
        <w:rPr>
          <w:rFonts w:hint="eastAsia" w:ascii="仿宋_GB2312" w:hAnsi="仿宋_GB2312" w:eastAsia="仿宋_GB2312" w:cs="仿宋_GB2312"/>
          <w:color w:val="auto"/>
          <w:spacing w:val="-5"/>
          <w:szCs w:val="21"/>
          <w:highlight w:val="none"/>
          <w:lang w:val="zh-CN" w:bidi="zh-CN"/>
        </w:rPr>
        <w:t>中小企业划型标准规定（工信部联企业〔2011〕300号）》中相应所属行业划型标准的具体规定，确定企业类型。</w:t>
      </w:r>
    </w:p>
    <w:p>
      <w:pPr>
        <w:adjustRightInd w:val="0"/>
        <w:snapToGrid w:val="0"/>
        <w:spacing w:line="480" w:lineRule="auto"/>
        <w:ind w:right="105" w:rightChars="50"/>
        <w:jc w:val="left"/>
        <w:rPr>
          <w:rFonts w:ascii="仿宋_GB2312" w:hAnsi="仿宋_GB2312" w:eastAsia="仿宋_GB2312" w:cs="仿宋_GB2312"/>
          <w:color w:val="auto"/>
          <w:szCs w:val="21"/>
          <w:highlight w:val="none"/>
          <w:u w:val="single"/>
        </w:rPr>
      </w:pPr>
    </w:p>
    <w:p>
      <w:pPr>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br w:type="page"/>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格式19</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color w:val="auto"/>
          <w:sz w:val="32"/>
          <w:szCs w:val="32"/>
          <w:highlight w:val="none"/>
        </w:rPr>
      </w:pPr>
      <w:bookmarkStart w:id="120" w:name="_Toc13566_WPSOffice_Level2"/>
      <w:bookmarkStart w:id="121" w:name="_Toc29880_WPSOffice_Level2"/>
      <w:r>
        <w:rPr>
          <w:rFonts w:hint="eastAsia" w:ascii="仿宋_GB2312" w:hAnsi="仿宋_GB2312" w:eastAsia="仿宋_GB2312" w:cs="仿宋_GB2312"/>
          <w:b/>
          <w:bCs/>
          <w:color w:val="auto"/>
          <w:sz w:val="32"/>
          <w:szCs w:val="32"/>
          <w:highlight w:val="none"/>
        </w:rPr>
        <w:t>残疾人福利性单位声明函</w:t>
      </w:r>
      <w:bookmarkEnd w:id="120"/>
      <w:bookmarkEnd w:id="121"/>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单位的</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本单位对上述声明的真实性负责。如有虚假，将依法承担相应责任。</w:t>
      </w:r>
    </w:p>
    <w:tbl>
      <w:tblPr>
        <w:tblStyle w:val="18"/>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53" w:type="dxa"/>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1582" w:type="dxa"/>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品  名</w:t>
            </w:r>
          </w:p>
        </w:tc>
        <w:tc>
          <w:tcPr>
            <w:tcW w:w="1587" w:type="dxa"/>
            <w:vAlign w:val="center"/>
          </w:tcPr>
          <w:p>
            <w:pPr>
              <w:widowControl/>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数量</w:t>
            </w:r>
          </w:p>
        </w:tc>
        <w:tc>
          <w:tcPr>
            <w:tcW w:w="1427" w:type="dxa"/>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规格</w:t>
            </w:r>
          </w:p>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型号</w:t>
            </w:r>
          </w:p>
        </w:tc>
        <w:tc>
          <w:tcPr>
            <w:tcW w:w="1427" w:type="dxa"/>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生产</w:t>
            </w:r>
          </w:p>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厂家</w:t>
            </w:r>
          </w:p>
        </w:tc>
        <w:tc>
          <w:tcPr>
            <w:tcW w:w="1344" w:type="dxa"/>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582" w:type="dxa"/>
            <w:vAlign w:val="center"/>
          </w:tcPr>
          <w:p>
            <w:pPr>
              <w:jc w:val="center"/>
              <w:rPr>
                <w:rFonts w:ascii="仿宋_GB2312" w:hAnsi="仿宋_GB2312" w:eastAsia="仿宋_GB2312" w:cs="仿宋_GB2312"/>
                <w:color w:val="auto"/>
                <w:szCs w:val="21"/>
                <w:highlight w:val="none"/>
              </w:rPr>
            </w:pPr>
          </w:p>
        </w:tc>
        <w:tc>
          <w:tcPr>
            <w:tcW w:w="1587" w:type="dxa"/>
            <w:vAlign w:val="center"/>
          </w:tcPr>
          <w:p>
            <w:pPr>
              <w:jc w:val="center"/>
              <w:rPr>
                <w:rFonts w:ascii="仿宋_GB2312" w:hAnsi="仿宋_GB2312" w:eastAsia="仿宋_GB2312" w:cs="仿宋_GB2312"/>
                <w:color w:val="auto"/>
                <w:szCs w:val="21"/>
                <w:highlight w:val="none"/>
              </w:rPr>
            </w:pPr>
          </w:p>
        </w:tc>
        <w:tc>
          <w:tcPr>
            <w:tcW w:w="1427" w:type="dxa"/>
            <w:vAlign w:val="center"/>
          </w:tcPr>
          <w:p>
            <w:pPr>
              <w:jc w:val="center"/>
              <w:rPr>
                <w:rFonts w:ascii="仿宋_GB2312" w:hAnsi="仿宋_GB2312" w:eastAsia="仿宋_GB2312" w:cs="仿宋_GB2312"/>
                <w:color w:val="auto"/>
                <w:szCs w:val="21"/>
                <w:highlight w:val="none"/>
              </w:rPr>
            </w:pPr>
          </w:p>
        </w:tc>
        <w:tc>
          <w:tcPr>
            <w:tcW w:w="1427" w:type="dxa"/>
            <w:vAlign w:val="center"/>
          </w:tcPr>
          <w:p>
            <w:pPr>
              <w:jc w:val="center"/>
              <w:rPr>
                <w:rFonts w:ascii="仿宋_GB2312" w:hAnsi="仿宋_GB2312" w:eastAsia="仿宋_GB2312" w:cs="仿宋_GB2312"/>
                <w:color w:val="auto"/>
                <w:szCs w:val="21"/>
                <w:highlight w:val="none"/>
              </w:rPr>
            </w:pPr>
          </w:p>
        </w:tc>
        <w:tc>
          <w:tcPr>
            <w:tcW w:w="1344" w:type="dxa"/>
            <w:vAlign w:val="center"/>
          </w:tcPr>
          <w:p>
            <w:pPr>
              <w:spacing w:line="360" w:lineRule="auto"/>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582" w:type="dxa"/>
            <w:vAlign w:val="center"/>
          </w:tcPr>
          <w:p>
            <w:pPr>
              <w:jc w:val="center"/>
              <w:rPr>
                <w:rFonts w:ascii="仿宋_GB2312" w:hAnsi="仿宋_GB2312" w:eastAsia="仿宋_GB2312" w:cs="仿宋_GB2312"/>
                <w:color w:val="auto"/>
                <w:szCs w:val="21"/>
                <w:highlight w:val="none"/>
              </w:rPr>
            </w:pPr>
          </w:p>
        </w:tc>
        <w:tc>
          <w:tcPr>
            <w:tcW w:w="1587" w:type="dxa"/>
            <w:vAlign w:val="center"/>
          </w:tcPr>
          <w:p>
            <w:pPr>
              <w:jc w:val="center"/>
              <w:rPr>
                <w:rFonts w:ascii="仿宋_GB2312" w:hAnsi="仿宋_GB2312" w:eastAsia="仿宋_GB2312" w:cs="仿宋_GB2312"/>
                <w:color w:val="auto"/>
                <w:szCs w:val="21"/>
                <w:highlight w:val="none"/>
              </w:rPr>
            </w:pPr>
          </w:p>
        </w:tc>
        <w:tc>
          <w:tcPr>
            <w:tcW w:w="1427" w:type="dxa"/>
            <w:vAlign w:val="center"/>
          </w:tcPr>
          <w:p>
            <w:pPr>
              <w:jc w:val="center"/>
              <w:rPr>
                <w:rFonts w:ascii="仿宋_GB2312" w:hAnsi="仿宋_GB2312" w:eastAsia="仿宋_GB2312" w:cs="仿宋_GB2312"/>
                <w:color w:val="auto"/>
                <w:szCs w:val="21"/>
                <w:highlight w:val="none"/>
              </w:rPr>
            </w:pPr>
          </w:p>
        </w:tc>
        <w:tc>
          <w:tcPr>
            <w:tcW w:w="1427" w:type="dxa"/>
            <w:vAlign w:val="center"/>
          </w:tcPr>
          <w:p>
            <w:pPr>
              <w:jc w:val="center"/>
              <w:rPr>
                <w:rFonts w:ascii="仿宋_GB2312" w:hAnsi="仿宋_GB2312" w:eastAsia="仿宋_GB2312" w:cs="仿宋_GB2312"/>
                <w:color w:val="auto"/>
                <w:szCs w:val="21"/>
                <w:highlight w:val="none"/>
              </w:rPr>
            </w:pPr>
          </w:p>
        </w:tc>
        <w:tc>
          <w:tcPr>
            <w:tcW w:w="1344" w:type="dxa"/>
            <w:vAlign w:val="center"/>
          </w:tcPr>
          <w:p>
            <w:pPr>
              <w:spacing w:line="360" w:lineRule="auto"/>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1582" w:type="dxa"/>
            <w:vAlign w:val="center"/>
          </w:tcPr>
          <w:p>
            <w:pPr>
              <w:jc w:val="center"/>
              <w:rPr>
                <w:rFonts w:ascii="仿宋_GB2312" w:hAnsi="仿宋_GB2312" w:eastAsia="仿宋_GB2312" w:cs="仿宋_GB2312"/>
                <w:color w:val="auto"/>
                <w:szCs w:val="21"/>
                <w:highlight w:val="none"/>
              </w:rPr>
            </w:pPr>
          </w:p>
        </w:tc>
        <w:tc>
          <w:tcPr>
            <w:tcW w:w="1587" w:type="dxa"/>
            <w:vAlign w:val="center"/>
          </w:tcPr>
          <w:p>
            <w:pPr>
              <w:jc w:val="center"/>
              <w:rPr>
                <w:rFonts w:ascii="仿宋_GB2312" w:hAnsi="仿宋_GB2312" w:eastAsia="仿宋_GB2312" w:cs="仿宋_GB2312"/>
                <w:color w:val="auto"/>
                <w:szCs w:val="21"/>
                <w:highlight w:val="none"/>
              </w:rPr>
            </w:pPr>
          </w:p>
        </w:tc>
        <w:tc>
          <w:tcPr>
            <w:tcW w:w="1427" w:type="dxa"/>
            <w:vAlign w:val="center"/>
          </w:tcPr>
          <w:p>
            <w:pPr>
              <w:jc w:val="center"/>
              <w:rPr>
                <w:rFonts w:ascii="仿宋_GB2312" w:hAnsi="仿宋_GB2312" w:eastAsia="仿宋_GB2312" w:cs="仿宋_GB2312"/>
                <w:color w:val="auto"/>
                <w:szCs w:val="21"/>
                <w:highlight w:val="none"/>
              </w:rPr>
            </w:pPr>
          </w:p>
        </w:tc>
        <w:tc>
          <w:tcPr>
            <w:tcW w:w="1427" w:type="dxa"/>
            <w:vAlign w:val="center"/>
          </w:tcPr>
          <w:p>
            <w:pPr>
              <w:jc w:val="center"/>
              <w:rPr>
                <w:rFonts w:ascii="仿宋_GB2312" w:hAnsi="仿宋_GB2312" w:eastAsia="仿宋_GB2312" w:cs="仿宋_GB2312"/>
                <w:color w:val="auto"/>
                <w:szCs w:val="21"/>
                <w:highlight w:val="none"/>
              </w:rPr>
            </w:pPr>
          </w:p>
        </w:tc>
        <w:tc>
          <w:tcPr>
            <w:tcW w:w="1344" w:type="dxa"/>
            <w:vAlign w:val="center"/>
          </w:tcPr>
          <w:p>
            <w:pPr>
              <w:spacing w:line="360" w:lineRule="auto"/>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3" w:type="dxa"/>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p>
        </w:tc>
        <w:tc>
          <w:tcPr>
            <w:tcW w:w="1582" w:type="dxa"/>
            <w:vAlign w:val="center"/>
          </w:tcPr>
          <w:p>
            <w:pPr>
              <w:jc w:val="center"/>
              <w:rPr>
                <w:rFonts w:ascii="仿宋_GB2312" w:hAnsi="仿宋_GB2312" w:eastAsia="仿宋_GB2312" w:cs="仿宋_GB2312"/>
                <w:color w:val="auto"/>
                <w:szCs w:val="21"/>
                <w:highlight w:val="none"/>
              </w:rPr>
            </w:pPr>
          </w:p>
        </w:tc>
        <w:tc>
          <w:tcPr>
            <w:tcW w:w="1587" w:type="dxa"/>
            <w:vAlign w:val="center"/>
          </w:tcPr>
          <w:p>
            <w:pPr>
              <w:jc w:val="center"/>
              <w:rPr>
                <w:rFonts w:ascii="仿宋_GB2312" w:hAnsi="仿宋_GB2312" w:eastAsia="仿宋_GB2312" w:cs="仿宋_GB2312"/>
                <w:color w:val="auto"/>
                <w:szCs w:val="21"/>
                <w:highlight w:val="none"/>
              </w:rPr>
            </w:pPr>
          </w:p>
        </w:tc>
        <w:tc>
          <w:tcPr>
            <w:tcW w:w="1427" w:type="dxa"/>
            <w:vAlign w:val="center"/>
          </w:tcPr>
          <w:p>
            <w:pPr>
              <w:jc w:val="center"/>
              <w:rPr>
                <w:rFonts w:ascii="仿宋_GB2312" w:hAnsi="仿宋_GB2312" w:eastAsia="仿宋_GB2312" w:cs="仿宋_GB2312"/>
                <w:color w:val="auto"/>
                <w:szCs w:val="21"/>
                <w:highlight w:val="none"/>
              </w:rPr>
            </w:pPr>
          </w:p>
        </w:tc>
        <w:tc>
          <w:tcPr>
            <w:tcW w:w="1427" w:type="dxa"/>
            <w:vAlign w:val="center"/>
          </w:tcPr>
          <w:p>
            <w:pPr>
              <w:jc w:val="center"/>
              <w:rPr>
                <w:rFonts w:ascii="仿宋_GB2312" w:hAnsi="仿宋_GB2312" w:eastAsia="仿宋_GB2312" w:cs="仿宋_GB2312"/>
                <w:color w:val="auto"/>
                <w:szCs w:val="21"/>
                <w:highlight w:val="none"/>
              </w:rPr>
            </w:pPr>
          </w:p>
        </w:tc>
        <w:tc>
          <w:tcPr>
            <w:tcW w:w="1344" w:type="dxa"/>
            <w:vAlign w:val="center"/>
          </w:tcPr>
          <w:p>
            <w:pPr>
              <w:spacing w:line="360" w:lineRule="auto"/>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320" w:type="dxa"/>
            <w:gridSpan w:val="6"/>
            <w:vAlign w:val="center"/>
          </w:tcPr>
          <w:p>
            <w:pPr>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 xml:space="preserve"> </w:t>
            </w:r>
            <w:r>
              <w:rPr>
                <w:rFonts w:hint="eastAsia" w:ascii="仿宋_GB2312" w:hAnsi="仿宋_GB2312" w:eastAsia="仿宋_GB2312" w:cs="仿宋_GB2312"/>
                <w:b/>
                <w:color w:val="auto"/>
                <w:szCs w:val="21"/>
                <w:highlight w:val="none"/>
                <w:lang w:val="zh-CN"/>
              </w:rPr>
              <w:t>投标文件中所提供投标的以上伴随产品为我单位生产的产品，</w:t>
            </w:r>
            <w:r>
              <w:rPr>
                <w:rFonts w:hint="eastAsia" w:ascii="仿宋_GB2312" w:hAnsi="仿宋_GB2312" w:eastAsia="仿宋_GB2312" w:cs="仿宋_GB2312"/>
                <w:b/>
                <w:color w:val="auto"/>
                <w:szCs w:val="21"/>
                <w:highlight w:val="none"/>
              </w:rPr>
              <w:t>如有虚假</w:t>
            </w:r>
            <w:r>
              <w:rPr>
                <w:rFonts w:hint="eastAsia" w:ascii="仿宋_GB2312" w:hAnsi="仿宋_GB2312" w:eastAsia="仿宋_GB2312" w:cs="仿宋_GB2312"/>
                <w:b/>
                <w:color w:val="auto"/>
                <w:szCs w:val="21"/>
                <w:highlight w:val="none"/>
                <w:lang w:val="zh-CN"/>
              </w:rPr>
              <w:t>，我单位承担由此产生的一切后果</w:t>
            </w:r>
            <w:r>
              <w:rPr>
                <w:rFonts w:hint="eastAsia" w:ascii="仿宋_GB2312" w:hAnsi="仿宋_GB2312" w:eastAsia="仿宋_GB2312" w:cs="仿宋_GB2312"/>
                <w:color w:val="auto"/>
                <w:szCs w:val="21"/>
                <w:highlight w:val="none"/>
                <w:lang w:val="zh-CN"/>
              </w:rPr>
              <w:t>。</w:t>
            </w:r>
          </w:p>
        </w:tc>
      </w:tr>
    </w:tbl>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注：1、供应商为非残疾人福利性单位的，无需填写此声明函。</w:t>
      </w: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2、仅为本项目提供服务，未提供服务所伴随产品的，此表格可不填写。</w:t>
      </w: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3、如为本项目提供本单位伴随产品的，请填写此表格。</w:t>
      </w:r>
    </w:p>
    <w:p>
      <w:pPr>
        <w:adjustRightInd w:val="0"/>
        <w:snapToGrid w:val="0"/>
        <w:spacing w:line="360" w:lineRule="auto"/>
        <w:ind w:right="105" w:rightChars="50" w:firstLine="476" w:firstLineChars="227"/>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4、如为本项目提供的伴随产品是其他单位生产的，无需填写此表格，但需生产单位按此格式出具此声明。</w:t>
      </w:r>
    </w:p>
    <w:p>
      <w:pPr>
        <w:adjustRightInd w:val="0"/>
        <w:snapToGrid w:val="0"/>
        <w:spacing w:line="360" w:lineRule="auto"/>
        <w:ind w:right="105" w:rightChars="50"/>
        <w:jc w:val="left"/>
        <w:rPr>
          <w:rFonts w:ascii="仿宋_GB2312" w:hAnsi="仿宋_GB2312" w:eastAsia="仿宋_GB2312" w:cs="仿宋_GB2312"/>
          <w:color w:val="auto"/>
          <w:szCs w:val="21"/>
          <w:highlight w:val="none"/>
        </w:rPr>
      </w:pPr>
    </w:p>
    <w:p>
      <w:pPr>
        <w:adjustRightInd w:val="0"/>
        <w:snapToGrid w:val="0"/>
        <w:spacing w:line="360" w:lineRule="auto"/>
        <w:ind w:right="105" w:rightChars="50"/>
        <w:jc w:val="left"/>
        <w:rPr>
          <w:rFonts w:ascii="仿宋_GB2312" w:hAnsi="仿宋_GB2312" w:eastAsia="仿宋_GB2312" w:cs="仿宋_GB2312"/>
          <w:color w:val="auto"/>
          <w:szCs w:val="21"/>
          <w:highlight w:val="none"/>
        </w:rPr>
      </w:pPr>
    </w:p>
    <w:p>
      <w:pPr>
        <w:adjustRightInd w:val="0"/>
        <w:snapToGrid w:val="0"/>
        <w:spacing w:line="360" w:lineRule="auto"/>
        <w:ind w:right="105" w:rightChars="50"/>
        <w:jc w:val="left"/>
        <w:rPr>
          <w:rFonts w:ascii="仿宋_GB2312" w:hAnsi="仿宋_GB2312" w:eastAsia="仿宋_GB2312" w:cs="仿宋_GB2312"/>
          <w:color w:val="auto"/>
          <w:szCs w:val="21"/>
          <w:highlight w:val="none"/>
        </w:rPr>
      </w:pPr>
    </w:p>
    <w:p>
      <w:pPr>
        <w:adjustRightInd w:val="0"/>
        <w:snapToGrid w:val="0"/>
        <w:spacing w:line="480" w:lineRule="auto"/>
        <w:ind w:right="105" w:rightChars="5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投标人名称（加盖单位公章）：</w:t>
      </w:r>
      <w:r>
        <w:rPr>
          <w:rFonts w:hint="eastAsia" w:ascii="仿宋_GB2312" w:hAnsi="仿宋_GB2312" w:eastAsia="仿宋_GB2312" w:cs="仿宋_GB2312"/>
          <w:color w:val="auto"/>
          <w:szCs w:val="21"/>
          <w:highlight w:val="none"/>
          <w:u w:val="single"/>
        </w:rPr>
        <w:t xml:space="preserve">              </w:t>
      </w:r>
    </w:p>
    <w:p>
      <w:pPr>
        <w:adjustRightInd w:val="0"/>
        <w:snapToGrid w:val="0"/>
        <w:spacing w:line="480" w:lineRule="auto"/>
        <w:ind w:right="105" w:rightChars="50"/>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Cs w:val="21"/>
          <w:highlight w:val="none"/>
        </w:rPr>
        <w:t>日 期：</w:t>
      </w:r>
      <w:r>
        <w:rPr>
          <w:rFonts w:hint="eastAsia" w:ascii="仿宋_GB2312" w:hAnsi="仿宋_GB2312" w:eastAsia="仿宋_GB2312" w:cs="仿宋_GB2312"/>
          <w:color w:val="auto"/>
          <w:szCs w:val="21"/>
          <w:highlight w:val="none"/>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Cs w:val="21"/>
          <w:highlight w:val="none"/>
          <w:u w:val="single"/>
        </w:rPr>
      </w:pPr>
    </w:p>
    <w:p>
      <w:pPr>
        <w:widowControl/>
        <w:jc w:val="left"/>
        <w:rPr>
          <w:rFonts w:ascii="仿宋_GB2312" w:hAnsi="仿宋_GB2312" w:eastAsia="仿宋_GB2312" w:cs="仿宋_GB2312"/>
          <w:color w:val="auto"/>
          <w:szCs w:val="21"/>
          <w:highlight w:val="none"/>
          <w:u w:val="single"/>
        </w:rPr>
      </w:pPr>
    </w:p>
    <w:p>
      <w:pPr>
        <w:widowControl/>
        <w:jc w:val="left"/>
        <w:rPr>
          <w:rFonts w:ascii="仿宋_GB2312" w:hAnsi="仿宋_GB2312" w:eastAsia="仿宋_GB2312" w:cs="仿宋_GB2312"/>
          <w:b/>
          <w:color w:val="auto"/>
          <w:kern w:val="44"/>
          <w:sz w:val="44"/>
          <w:highlight w:val="none"/>
        </w:rPr>
      </w:pPr>
      <w:bookmarkStart w:id="122" w:name="_Toc4498_WPSOffice_Level1"/>
      <w:r>
        <w:rPr>
          <w:rFonts w:hint="eastAsia" w:ascii="仿宋_GB2312" w:hAnsi="仿宋_GB2312" w:eastAsia="仿宋_GB2312" w:cs="仿宋_GB2312"/>
          <w:color w:val="auto"/>
          <w:highlight w:val="none"/>
        </w:rPr>
        <w:br w:type="page"/>
      </w:r>
    </w:p>
    <w:p>
      <w:pPr>
        <w:pStyle w:val="4"/>
        <w:snapToGrid w:val="0"/>
        <w:spacing w:before="319" w:beforeLines="100" w:after="319" w:afterLines="100" w:line="360" w:lineRule="auto"/>
        <w:rPr>
          <w:rFonts w:ascii="仿宋_GB2312" w:hAnsi="仿宋_GB2312" w:eastAsia="仿宋_GB2312" w:cs="仿宋_GB2312"/>
          <w:color w:val="auto"/>
          <w:highlight w:val="none"/>
        </w:rPr>
      </w:pPr>
      <w:bookmarkStart w:id="123" w:name="_Toc17590"/>
      <w:r>
        <w:rPr>
          <w:rFonts w:hint="eastAsia" w:ascii="仿宋_GB2312" w:hAnsi="仿宋_GB2312" w:eastAsia="仿宋_GB2312" w:cs="仿宋_GB2312"/>
          <w:color w:val="auto"/>
          <w:highlight w:val="none"/>
        </w:rPr>
        <w:t>第三章 货物需求</w:t>
      </w:r>
      <w:bookmarkEnd w:id="122"/>
      <w:bookmarkEnd w:id="123"/>
    </w:p>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 xml:space="preserve">    </w:t>
      </w:r>
      <w:r>
        <w:rPr>
          <w:rFonts w:hint="eastAsia" w:ascii="仿宋_GB2312" w:hAnsi="仿宋_GB2312" w:eastAsia="仿宋_GB2312" w:cs="仿宋_GB2312"/>
          <w:color w:val="auto"/>
          <w:highlight w:val="none"/>
        </w:rPr>
        <w:t>详见格式12技术规格偏离表、格式13商务条款偏离表。</w:t>
      </w:r>
    </w:p>
    <w:p>
      <w:pPr>
        <w:spacing w:line="360" w:lineRule="auto"/>
        <w:rPr>
          <w:rFonts w:ascii="仿宋_GB2312" w:hAnsi="仿宋_GB2312" w:eastAsia="仿宋_GB2312" w:cs="仿宋_GB2312"/>
          <w:color w:val="auto"/>
          <w:highlight w:val="none"/>
        </w:rPr>
      </w:pPr>
    </w:p>
    <w:p>
      <w:pPr>
        <w:widowControl/>
        <w:jc w:val="left"/>
        <w:rPr>
          <w:rFonts w:ascii="仿宋_GB2312" w:hAnsi="仿宋_GB2312" w:eastAsia="仿宋_GB2312" w:cs="仿宋_GB2312"/>
          <w:b/>
          <w:color w:val="auto"/>
          <w:kern w:val="44"/>
          <w:sz w:val="44"/>
          <w:highlight w:val="none"/>
        </w:rPr>
      </w:pPr>
      <w:bookmarkStart w:id="124" w:name="_Toc2821_WPSOffice_Level1"/>
    </w:p>
    <w:p>
      <w:pPr>
        <w:widowControl/>
        <w:jc w:val="left"/>
        <w:rPr>
          <w:rFonts w:ascii="仿宋_GB2312" w:hAnsi="仿宋_GB2312" w:eastAsia="仿宋_GB2312" w:cs="仿宋_GB2312"/>
          <w:b/>
          <w:color w:val="auto"/>
          <w:kern w:val="44"/>
          <w:sz w:val="44"/>
          <w:highlight w:val="none"/>
        </w:rPr>
      </w:pPr>
      <w:r>
        <w:rPr>
          <w:rFonts w:hint="eastAsia" w:ascii="仿宋_GB2312" w:hAnsi="仿宋_GB2312" w:eastAsia="仿宋_GB2312" w:cs="仿宋_GB2312"/>
          <w:color w:val="auto"/>
          <w:highlight w:val="none"/>
        </w:rPr>
        <w:br w:type="page"/>
      </w:r>
    </w:p>
    <w:p>
      <w:pPr>
        <w:pStyle w:val="4"/>
        <w:snapToGrid w:val="0"/>
        <w:spacing w:before="319" w:beforeLines="100" w:after="319" w:afterLines="100" w:line="360" w:lineRule="auto"/>
        <w:rPr>
          <w:rFonts w:ascii="仿宋_GB2312" w:hAnsi="仿宋_GB2312" w:eastAsia="仿宋_GB2312" w:cs="仿宋_GB2312"/>
          <w:color w:val="auto"/>
          <w:highlight w:val="none"/>
        </w:rPr>
      </w:pPr>
      <w:bookmarkStart w:id="125" w:name="_Toc25237"/>
      <w:r>
        <w:rPr>
          <w:rFonts w:hint="eastAsia" w:ascii="仿宋_GB2312" w:hAnsi="仿宋_GB2312" w:eastAsia="仿宋_GB2312" w:cs="仿宋_GB2312"/>
          <w:color w:val="auto"/>
          <w:highlight w:val="none"/>
        </w:rPr>
        <w:t>第四章 评标方法</w:t>
      </w:r>
      <w:bookmarkEnd w:id="124"/>
      <w:bookmarkEnd w:id="125"/>
    </w:p>
    <w:p>
      <w:pPr>
        <w:adjustRightInd w:val="0"/>
        <w:snapToGrid w:val="0"/>
        <w:spacing w:line="360" w:lineRule="auto"/>
        <w:ind w:firstLine="420" w:firstLineChars="200"/>
        <w:rPr>
          <w:rFonts w:ascii="仿宋_GB2312" w:hAnsi="仿宋_GB2312" w:eastAsia="仿宋_GB2312" w:cs="仿宋_GB2312"/>
          <w:b/>
          <w:color w:val="auto"/>
          <w:kern w:val="0"/>
          <w:szCs w:val="21"/>
          <w:highlight w:val="none"/>
        </w:rPr>
      </w:pPr>
      <w:r>
        <w:rPr>
          <w:rFonts w:hint="eastAsia" w:ascii="仿宋_GB2312" w:hAnsi="仿宋_GB2312" w:eastAsia="仿宋_GB2312" w:cs="仿宋_GB2312"/>
          <w:bCs/>
          <w:color w:val="auto"/>
          <w:kern w:val="0"/>
          <w:szCs w:val="21"/>
          <w:highlight w:val="none"/>
        </w:rPr>
        <w:t>本项目将按照招标文件第一章投标人须知中“六 开标及评标”、“七 确定中标”及本章的规定评标。</w:t>
      </w:r>
    </w:p>
    <w:p>
      <w:pPr>
        <w:adjustRightInd w:val="0"/>
        <w:snapToGrid w:val="0"/>
        <w:spacing w:line="360" w:lineRule="auto"/>
        <w:ind w:firstLine="420" w:firstLineChars="200"/>
        <w:rPr>
          <w:rFonts w:ascii="仿宋_GB2312" w:hAnsi="仿宋_GB2312" w:eastAsia="仿宋_GB2312" w:cs="仿宋_GB2312"/>
          <w:b/>
          <w:color w:val="auto"/>
          <w:kern w:val="0"/>
          <w:szCs w:val="21"/>
          <w:highlight w:val="none"/>
        </w:rPr>
      </w:pPr>
      <w:bookmarkStart w:id="126" w:name="_Toc22313_WPSOffice_Level2"/>
      <w:r>
        <w:rPr>
          <w:rFonts w:hint="eastAsia" w:ascii="仿宋_GB2312" w:hAnsi="仿宋_GB2312" w:eastAsia="仿宋_GB2312" w:cs="仿宋_GB2312"/>
          <w:b/>
          <w:color w:val="auto"/>
          <w:kern w:val="0"/>
          <w:szCs w:val="21"/>
          <w:highlight w:val="none"/>
        </w:rPr>
        <w:t>一、评标方法</w:t>
      </w:r>
      <w:bookmarkEnd w:id="126"/>
    </w:p>
    <w:p>
      <w:pPr>
        <w:adjustRightInd w:val="0"/>
        <w:snapToGrid w:val="0"/>
        <w:spacing w:line="360" w:lineRule="auto"/>
        <w:ind w:firstLine="420"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本项目采用</w:t>
      </w:r>
      <w:r>
        <w:rPr>
          <w:rFonts w:hint="eastAsia" w:ascii="仿宋_GB2312" w:hAnsi="仿宋_GB2312" w:eastAsia="仿宋_GB2312" w:cs="仿宋_GB2312"/>
          <w:color w:val="auto"/>
          <w:kern w:val="0"/>
          <w:szCs w:val="21"/>
          <w:highlight w:val="none"/>
          <w:u w:val="single"/>
        </w:rPr>
        <w:t>综合评分法</w:t>
      </w:r>
      <w:r>
        <w:rPr>
          <w:rFonts w:hint="eastAsia" w:ascii="仿宋_GB2312" w:hAnsi="仿宋_GB2312" w:eastAsia="仿宋_GB2312" w:cs="仿宋_GB2312"/>
          <w:color w:val="auto"/>
          <w:kern w:val="0"/>
          <w:szCs w:val="21"/>
          <w:highlight w:val="none"/>
        </w:rPr>
        <w:t>进行评标。</w:t>
      </w:r>
    </w:p>
    <w:p>
      <w:pPr>
        <w:adjustRightInd w:val="0"/>
        <w:snapToGrid w:val="0"/>
        <w:spacing w:line="360" w:lineRule="auto"/>
        <w:ind w:firstLine="420" w:firstLineChars="200"/>
        <w:textAlignment w:val="baseline"/>
        <w:rPr>
          <w:rFonts w:ascii="仿宋_GB2312" w:hAnsi="仿宋_GB2312" w:eastAsia="仿宋_GB2312" w:cs="仿宋_GB2312"/>
          <w:b/>
          <w:color w:val="auto"/>
          <w:kern w:val="0"/>
          <w:szCs w:val="21"/>
          <w:highlight w:val="none"/>
        </w:rPr>
      </w:pPr>
      <w:bookmarkStart w:id="127" w:name="_Toc21368_WPSOffice_Level2"/>
      <w:r>
        <w:rPr>
          <w:rFonts w:hint="eastAsia" w:ascii="仿宋_GB2312" w:hAnsi="仿宋_GB2312" w:eastAsia="仿宋_GB2312" w:cs="仿宋_GB2312"/>
          <w:b/>
          <w:color w:val="auto"/>
          <w:kern w:val="0"/>
          <w:szCs w:val="21"/>
          <w:highlight w:val="none"/>
        </w:rPr>
        <w:t>二、评标原则及程序</w:t>
      </w:r>
      <w:bookmarkEnd w:id="127"/>
    </w:p>
    <w:p>
      <w:pPr>
        <w:adjustRightInd w:val="0"/>
        <w:snapToGrid w:val="0"/>
        <w:spacing w:line="360" w:lineRule="auto"/>
        <w:ind w:firstLine="420" w:firstLineChars="200"/>
        <w:textAlignment w:val="baseline"/>
        <w:rPr>
          <w:rFonts w:ascii="仿宋_GB2312" w:hAnsi="仿宋_GB2312" w:eastAsia="仿宋_GB2312" w:cs="仿宋_GB2312"/>
          <w:b/>
          <w:color w:val="auto"/>
          <w:kern w:val="0"/>
          <w:szCs w:val="21"/>
          <w:highlight w:val="none"/>
        </w:rPr>
      </w:pPr>
      <w:r>
        <w:rPr>
          <w:rFonts w:hint="eastAsia" w:ascii="仿宋_GB2312" w:hAnsi="仿宋_GB2312" w:eastAsia="仿宋_GB2312" w:cs="仿宋_GB2312"/>
          <w:b/>
          <w:color w:val="auto"/>
          <w:kern w:val="0"/>
          <w:szCs w:val="21"/>
          <w:highlight w:val="none"/>
        </w:rPr>
        <w:t>（一）评标原则</w:t>
      </w:r>
    </w:p>
    <w:p>
      <w:pPr>
        <w:adjustRightInd w:val="0"/>
        <w:snapToGrid w:val="0"/>
        <w:spacing w:line="360" w:lineRule="auto"/>
        <w:ind w:firstLine="420" w:firstLineChars="200"/>
        <w:textAlignment w:val="baseline"/>
        <w:rPr>
          <w:rFonts w:ascii="仿宋_GB2312" w:hAnsi="仿宋_GB2312" w:eastAsia="仿宋_GB2312" w:cs="仿宋_GB2312"/>
          <w:b/>
          <w:color w:val="auto"/>
          <w:kern w:val="0"/>
          <w:szCs w:val="21"/>
          <w:highlight w:val="none"/>
        </w:rPr>
      </w:pPr>
      <w:r>
        <w:rPr>
          <w:rFonts w:hint="eastAsia" w:ascii="仿宋_GB2312" w:hAnsi="仿宋_GB2312" w:eastAsia="仿宋_GB2312" w:cs="仿宋_GB2312"/>
          <w:color w:val="auto"/>
          <w:kern w:val="0"/>
          <w:highlight w:val="none"/>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pPr>
        <w:adjustRightInd w:val="0"/>
        <w:snapToGrid w:val="0"/>
        <w:spacing w:line="360" w:lineRule="auto"/>
        <w:ind w:firstLine="420" w:firstLineChars="200"/>
        <w:textAlignment w:val="baseline"/>
        <w:rPr>
          <w:rFonts w:ascii="仿宋_GB2312" w:hAnsi="仿宋_GB2312" w:eastAsia="仿宋_GB2312" w:cs="仿宋_GB2312"/>
          <w:b/>
          <w:color w:val="auto"/>
          <w:kern w:val="0"/>
          <w:szCs w:val="21"/>
          <w:highlight w:val="none"/>
        </w:rPr>
      </w:pPr>
      <w:r>
        <w:rPr>
          <w:rFonts w:hint="eastAsia" w:ascii="仿宋_GB2312" w:hAnsi="仿宋_GB2312" w:eastAsia="仿宋_GB2312" w:cs="仿宋_GB2312"/>
          <w:b/>
          <w:color w:val="auto"/>
          <w:kern w:val="0"/>
          <w:szCs w:val="21"/>
          <w:highlight w:val="none"/>
        </w:rPr>
        <w:t>（二）评标程序</w:t>
      </w:r>
    </w:p>
    <w:p>
      <w:pPr>
        <w:adjustRightInd w:val="0"/>
        <w:snapToGrid w:val="0"/>
        <w:spacing w:line="360" w:lineRule="auto"/>
        <w:ind w:firstLine="420" w:firstLineChars="200"/>
        <w:textAlignment w:val="baseline"/>
        <w:rPr>
          <w:rFonts w:ascii="仿宋_GB2312" w:hAnsi="仿宋_GB2312" w:eastAsia="仿宋_GB2312" w:cs="仿宋_GB2312"/>
          <w:b/>
          <w:color w:val="auto"/>
          <w:kern w:val="0"/>
          <w:szCs w:val="21"/>
          <w:highlight w:val="none"/>
        </w:rPr>
      </w:pPr>
      <w:r>
        <w:rPr>
          <w:rFonts w:hint="eastAsia" w:ascii="仿宋_GB2312" w:hAnsi="仿宋_GB2312" w:eastAsia="仿宋_GB2312" w:cs="仿宋_GB2312"/>
          <w:b/>
          <w:color w:val="auto"/>
          <w:kern w:val="0"/>
          <w:szCs w:val="21"/>
          <w:highlight w:val="none"/>
        </w:rPr>
        <w:t>★1、资格审查</w:t>
      </w:r>
    </w:p>
    <w:p>
      <w:pPr>
        <w:adjustRightInd w:val="0"/>
        <w:snapToGrid w:val="0"/>
        <w:spacing w:line="360" w:lineRule="auto"/>
        <w:ind w:firstLine="420" w:firstLineChars="200"/>
        <w:textAlignment w:val="baseline"/>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1.1详见投标人须知22条。资格审查表详见本章附件1。</w:t>
      </w:r>
    </w:p>
    <w:p>
      <w:pPr>
        <w:adjustRightInd w:val="0"/>
        <w:snapToGrid w:val="0"/>
        <w:spacing w:line="360" w:lineRule="auto"/>
        <w:ind w:firstLine="420" w:firstLineChars="200"/>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color w:val="auto"/>
          <w:kern w:val="0"/>
          <w:szCs w:val="21"/>
          <w:highlight w:val="none"/>
        </w:rPr>
        <w:t>★</w:t>
      </w:r>
      <w:r>
        <w:rPr>
          <w:rFonts w:hint="eastAsia" w:ascii="仿宋_GB2312" w:hAnsi="仿宋_GB2312" w:eastAsia="仿宋_GB2312" w:cs="仿宋_GB2312"/>
          <w:b/>
          <w:bCs/>
          <w:color w:val="auto"/>
          <w:kern w:val="0"/>
          <w:szCs w:val="21"/>
          <w:highlight w:val="none"/>
        </w:rPr>
        <w:t>2、符合性审查</w:t>
      </w:r>
    </w:p>
    <w:p>
      <w:pPr>
        <w:adjustRightInd w:val="0"/>
        <w:snapToGrid w:val="0"/>
        <w:spacing w:line="360" w:lineRule="auto"/>
        <w:ind w:firstLine="420"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2.1详见投标人须知23条。符合性审查表详见本章附件2。</w:t>
      </w:r>
    </w:p>
    <w:p>
      <w:pPr>
        <w:adjustRightInd w:val="0"/>
        <w:snapToGrid w:val="0"/>
        <w:spacing w:line="360" w:lineRule="auto"/>
        <w:ind w:firstLine="420" w:firstLineChars="200"/>
        <w:rPr>
          <w:rFonts w:ascii="仿宋_GB2312" w:hAnsi="仿宋_GB2312" w:eastAsia="仿宋_GB2312" w:cs="仿宋_GB2312"/>
          <w:b/>
          <w:color w:val="auto"/>
          <w:kern w:val="0"/>
          <w:szCs w:val="21"/>
          <w:highlight w:val="none"/>
        </w:rPr>
      </w:pPr>
      <w:r>
        <w:rPr>
          <w:rFonts w:hint="eastAsia" w:ascii="仿宋_GB2312" w:hAnsi="仿宋_GB2312" w:eastAsia="仿宋_GB2312" w:cs="仿宋_GB2312"/>
          <w:b/>
          <w:color w:val="auto"/>
          <w:kern w:val="0"/>
          <w:szCs w:val="21"/>
          <w:highlight w:val="none"/>
        </w:rPr>
        <w:t>3、样品及演示</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3.1</w:t>
      </w:r>
      <w:r>
        <w:rPr>
          <w:rFonts w:hint="eastAsia" w:ascii="仿宋_GB2312" w:hAnsi="仿宋_GB2312" w:eastAsia="仿宋_GB2312" w:cs="仿宋_GB2312"/>
          <w:color w:val="auto"/>
          <w:kern w:val="0"/>
          <w:szCs w:val="21"/>
          <w:highlight w:val="none"/>
        </w:rPr>
        <w:t>投标人须知表11.3条</w:t>
      </w:r>
      <w:r>
        <w:rPr>
          <w:rFonts w:hint="eastAsia" w:ascii="仿宋_GB2312" w:hAnsi="仿宋_GB2312" w:eastAsia="仿宋_GB2312" w:cs="仿宋_GB2312"/>
          <w:color w:val="auto"/>
          <w:szCs w:val="21"/>
          <w:highlight w:val="none"/>
        </w:rPr>
        <w:t>中要求投标人提供样品或演示的，按照</w:t>
      </w:r>
      <w:r>
        <w:rPr>
          <w:rFonts w:hint="eastAsia" w:ascii="仿宋_GB2312" w:hAnsi="仿宋_GB2312" w:eastAsia="仿宋_GB2312" w:cs="仿宋_GB2312"/>
          <w:color w:val="auto"/>
          <w:kern w:val="0"/>
          <w:szCs w:val="21"/>
          <w:highlight w:val="none"/>
        </w:rPr>
        <w:t>投标人须知表25.1条</w:t>
      </w:r>
      <w:r>
        <w:rPr>
          <w:rFonts w:hint="eastAsia" w:ascii="仿宋_GB2312" w:hAnsi="仿宋_GB2312" w:eastAsia="仿宋_GB2312" w:cs="仿宋_GB2312"/>
          <w:color w:val="auto"/>
          <w:szCs w:val="21"/>
          <w:highlight w:val="none"/>
        </w:rPr>
        <w:t>中确定的评审方法以及评审标准进行评审。(样品或演示属于符合性审查的，按照</w:t>
      </w:r>
      <w:r>
        <w:rPr>
          <w:rFonts w:hint="eastAsia" w:ascii="仿宋_GB2312" w:hAnsi="仿宋_GB2312" w:eastAsia="仿宋_GB2312" w:cs="仿宋_GB2312"/>
          <w:color w:val="auto"/>
          <w:kern w:val="0"/>
          <w:szCs w:val="21"/>
          <w:highlight w:val="none"/>
        </w:rPr>
        <w:t>投标人须知23条</w:t>
      </w:r>
      <w:r>
        <w:rPr>
          <w:rFonts w:hint="eastAsia" w:ascii="仿宋_GB2312" w:hAnsi="仿宋_GB2312" w:eastAsia="仿宋_GB2312" w:cs="仿宋_GB2312"/>
          <w:color w:val="auto"/>
          <w:szCs w:val="21"/>
          <w:highlight w:val="none"/>
        </w:rPr>
        <w:t>规定执行）</w:t>
      </w:r>
    </w:p>
    <w:p>
      <w:pPr>
        <w:adjustRightInd w:val="0"/>
        <w:snapToGrid w:val="0"/>
        <w:spacing w:line="360" w:lineRule="auto"/>
        <w:ind w:firstLine="420" w:firstLineChars="200"/>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color w:val="auto"/>
          <w:kern w:val="0"/>
          <w:szCs w:val="21"/>
          <w:highlight w:val="none"/>
        </w:rPr>
        <w:t>★4</w:t>
      </w:r>
      <w:r>
        <w:rPr>
          <w:rFonts w:hint="eastAsia" w:ascii="仿宋_GB2312" w:hAnsi="仿宋_GB2312" w:eastAsia="仿宋_GB2312" w:cs="仿宋_GB2312"/>
          <w:b/>
          <w:bCs/>
          <w:color w:val="auto"/>
          <w:kern w:val="0"/>
          <w:szCs w:val="21"/>
          <w:highlight w:val="none"/>
        </w:rPr>
        <w:t>、同一品牌产品</w:t>
      </w:r>
    </w:p>
    <w:p>
      <w:pPr>
        <w:adjustRightInd w:val="0"/>
        <w:snapToGrid w:val="0"/>
        <w:spacing w:line="360" w:lineRule="auto"/>
        <w:ind w:firstLine="420" w:firstLineChars="200"/>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4.1通过资格审查、符合性审查的不同品牌投标人不足3家的，按照</w:t>
      </w:r>
      <w:r>
        <w:rPr>
          <w:rFonts w:hint="eastAsia" w:ascii="仿宋_GB2312" w:hAnsi="仿宋_GB2312" w:eastAsia="仿宋_GB2312" w:cs="仿宋_GB2312"/>
          <w:color w:val="auto"/>
          <w:kern w:val="0"/>
          <w:szCs w:val="21"/>
          <w:highlight w:val="none"/>
        </w:rPr>
        <w:t>投标人须知28条第（1）款</w:t>
      </w:r>
      <w:r>
        <w:rPr>
          <w:rFonts w:hint="eastAsia" w:ascii="仿宋_GB2312" w:hAnsi="仿宋_GB2312" w:eastAsia="仿宋_GB2312" w:cs="仿宋_GB2312"/>
          <w:color w:val="auto"/>
          <w:szCs w:val="21"/>
          <w:highlight w:val="none"/>
        </w:rPr>
        <w:t>执行</w:t>
      </w:r>
      <w:r>
        <w:rPr>
          <w:rFonts w:hint="eastAsia" w:ascii="仿宋_GB2312" w:hAnsi="仿宋_GB2312" w:eastAsia="仿宋_GB2312" w:cs="仿宋_GB2312"/>
          <w:color w:val="auto"/>
          <w:kern w:val="0"/>
          <w:szCs w:val="21"/>
          <w:highlight w:val="none"/>
        </w:rPr>
        <w:t>。</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4.2提供相同品牌产品且通过资格审查、符合性审查的不同投标人，按一家投标人计算。</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4.3如一个分包内只有一种产品，不同投标人所投产品为同一品牌的，按如下方式处理：</w:t>
      </w:r>
    </w:p>
    <w:p>
      <w:pPr>
        <w:numPr>
          <w:ilvl w:val="0"/>
          <w:numId w:val="6"/>
        </w:num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如本项目使用最低评标价法，提供相同品牌产品的不同投标人以其中通过资格审查、符合性审查且报价最低的参加比较及评价；报价相同的，按</w:t>
      </w:r>
      <w:r>
        <w:rPr>
          <w:rFonts w:hint="eastAsia" w:ascii="仿宋_GB2312" w:hAnsi="仿宋_GB2312" w:eastAsia="仿宋_GB2312" w:cs="仿宋_GB2312"/>
          <w:color w:val="auto"/>
          <w:kern w:val="0"/>
          <w:szCs w:val="21"/>
          <w:highlight w:val="none"/>
        </w:rPr>
        <w:t>本章第8条</w:t>
      </w:r>
      <w:r>
        <w:rPr>
          <w:rFonts w:hint="eastAsia" w:ascii="仿宋_GB2312" w:hAnsi="仿宋_GB2312" w:eastAsia="仿宋_GB2312" w:cs="仿宋_GB2312"/>
          <w:color w:val="auto"/>
          <w:szCs w:val="21"/>
          <w:highlight w:val="none"/>
        </w:rPr>
        <w:t>“推荐中标候选人的原则”规定执行；未规定的采取随机抽取方式确定，其他</w:t>
      </w:r>
      <w:r>
        <w:rPr>
          <w:rFonts w:hint="eastAsia" w:ascii="仿宋_GB2312" w:hAnsi="仿宋_GB2312" w:eastAsia="仿宋_GB2312" w:cs="仿宋_GB2312"/>
          <w:b/>
          <w:bCs/>
          <w:color w:val="auto"/>
          <w:szCs w:val="21"/>
          <w:highlight w:val="none"/>
        </w:rPr>
        <w:t>投标无效</w:t>
      </w:r>
      <w:r>
        <w:rPr>
          <w:rFonts w:hint="eastAsia" w:ascii="仿宋_GB2312" w:hAnsi="仿宋_GB2312" w:eastAsia="仿宋_GB2312" w:cs="仿宋_GB2312"/>
          <w:color w:val="auto"/>
          <w:szCs w:val="21"/>
          <w:highlight w:val="none"/>
        </w:rPr>
        <w:t>。</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如本项目使用综合评分法，评审后得分最高的同品牌投标人获得中标人推荐资格；评审得分相同的，按本章第8条“推荐中标候选人的原则”规定执行；未规定的采取随机抽取方式确定，其他同品牌投标人不作为中标候选人。</w:t>
      </w:r>
    </w:p>
    <w:p>
      <w:pPr>
        <w:adjustRightInd w:val="0"/>
        <w:snapToGrid w:val="0"/>
        <w:spacing w:line="360" w:lineRule="auto"/>
        <w:ind w:firstLine="420"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4.4如一个分包内包含多种产品的，采购人或采购代理机构将在招标文件中载明核心产品，多家投标人提供的核心产品品牌相同的，</w:t>
      </w:r>
      <w:r>
        <w:rPr>
          <w:rFonts w:hint="eastAsia" w:ascii="仿宋_GB2312" w:hAnsi="仿宋_GB2312" w:eastAsia="仿宋_GB2312" w:cs="仿宋_GB2312"/>
          <w:color w:val="auto"/>
          <w:kern w:val="0"/>
          <w:szCs w:val="21"/>
          <w:highlight w:val="none"/>
        </w:rPr>
        <w:t>按本章第4.3条规定处理。</w:t>
      </w:r>
    </w:p>
    <w:p>
      <w:pPr>
        <w:adjustRightInd w:val="0"/>
        <w:snapToGrid w:val="0"/>
        <w:spacing w:line="360" w:lineRule="auto"/>
        <w:ind w:firstLine="420" w:firstLineChars="200"/>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color w:val="auto"/>
          <w:kern w:val="0"/>
          <w:szCs w:val="21"/>
          <w:highlight w:val="none"/>
        </w:rPr>
        <w:t>★5</w:t>
      </w:r>
      <w:r>
        <w:rPr>
          <w:rFonts w:hint="eastAsia" w:ascii="仿宋_GB2312" w:hAnsi="仿宋_GB2312" w:eastAsia="仿宋_GB2312" w:cs="仿宋_GB2312"/>
          <w:b/>
          <w:bCs/>
          <w:color w:val="auto"/>
          <w:kern w:val="0"/>
          <w:szCs w:val="21"/>
          <w:highlight w:val="none"/>
        </w:rPr>
        <w:t>、比较及评价</w:t>
      </w:r>
    </w:p>
    <w:p>
      <w:pPr>
        <w:adjustRightInd w:val="0"/>
        <w:snapToGrid w:val="0"/>
        <w:spacing w:line="360" w:lineRule="auto"/>
        <w:ind w:firstLine="420"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5.1评标委员会对通过符合性审查的投标文件进行比较和评价。</w:t>
      </w:r>
    </w:p>
    <w:p>
      <w:pPr>
        <w:adjustRightInd w:val="0"/>
        <w:snapToGrid w:val="0"/>
        <w:spacing w:line="360" w:lineRule="auto"/>
        <w:ind w:firstLine="420"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5.2在评标期间，对投标文件的澄清按投标人须知24条内容执行。</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5.3评标委员会认为投标人的报价明显低于其他通过符合性审查的投标人报价，有可能影响产品质量或者不能诚信履约的，评标委员会应当要求其在评标现场合理的时间（</w:t>
      </w:r>
      <w:r>
        <w:rPr>
          <w:rFonts w:hint="eastAsia" w:ascii="仿宋_GB2312" w:hAnsi="仿宋_GB2312" w:eastAsia="仿宋_GB2312" w:cs="仿宋_GB2312"/>
          <w:color w:val="auto"/>
          <w:kern w:val="0"/>
          <w:szCs w:val="21"/>
          <w:highlight w:val="none"/>
        </w:rPr>
        <w:t>接到通知后</w:t>
      </w:r>
      <w:r>
        <w:rPr>
          <w:rFonts w:hint="eastAsia" w:ascii="仿宋_GB2312" w:hAnsi="仿宋_GB2312" w:eastAsia="仿宋_GB2312" w:cs="仿宋_GB2312"/>
          <w:color w:val="auto"/>
          <w:kern w:val="0"/>
          <w:szCs w:val="21"/>
          <w:highlight w:val="none"/>
          <w:u w:val="single"/>
        </w:rPr>
        <w:t xml:space="preserve">  1  </w:t>
      </w:r>
      <w:r>
        <w:rPr>
          <w:rFonts w:hint="eastAsia" w:ascii="仿宋_GB2312" w:hAnsi="仿宋_GB2312" w:eastAsia="仿宋_GB2312" w:cs="仿宋_GB2312"/>
          <w:color w:val="auto"/>
          <w:kern w:val="0"/>
          <w:szCs w:val="21"/>
          <w:highlight w:val="none"/>
        </w:rPr>
        <w:t>小时</w:t>
      </w:r>
      <w:r>
        <w:rPr>
          <w:rFonts w:hint="eastAsia" w:ascii="仿宋_GB2312" w:hAnsi="仿宋_GB2312" w:eastAsia="仿宋_GB2312" w:cs="仿宋_GB2312"/>
          <w:color w:val="auto"/>
          <w:szCs w:val="21"/>
          <w:highlight w:val="none"/>
        </w:rPr>
        <w:t>）内提供书面说明，并提交相关证明材料，</w:t>
      </w:r>
      <w:r>
        <w:rPr>
          <w:rFonts w:hint="eastAsia" w:ascii="仿宋_GB2312" w:hAnsi="仿宋_GB2312" w:eastAsia="仿宋_GB2312" w:cs="仿宋_GB2312"/>
          <w:color w:val="auto"/>
          <w:kern w:val="0"/>
          <w:szCs w:val="21"/>
          <w:highlight w:val="none"/>
        </w:rPr>
        <w:t>投标人不能证明其报价合理性的，评标委员会应当将</w:t>
      </w:r>
      <w:r>
        <w:rPr>
          <w:rFonts w:hint="eastAsia" w:ascii="仿宋_GB2312" w:hAnsi="仿宋_GB2312" w:eastAsia="仿宋_GB2312" w:cs="仿宋_GB2312"/>
          <w:color w:val="auto"/>
          <w:szCs w:val="21"/>
          <w:highlight w:val="none"/>
        </w:rPr>
        <w:t>其投标作为</w:t>
      </w:r>
      <w:r>
        <w:rPr>
          <w:rFonts w:hint="eastAsia" w:ascii="仿宋_GB2312" w:hAnsi="仿宋_GB2312" w:eastAsia="仿宋_GB2312" w:cs="仿宋_GB2312"/>
          <w:b/>
          <w:bCs/>
          <w:color w:val="auto"/>
          <w:szCs w:val="21"/>
          <w:highlight w:val="none"/>
        </w:rPr>
        <w:t>无效投标处理</w:t>
      </w:r>
      <w:r>
        <w:rPr>
          <w:rFonts w:hint="eastAsia" w:ascii="仿宋_GB2312" w:hAnsi="仿宋_GB2312" w:eastAsia="仿宋_GB2312" w:cs="仿宋_GB2312"/>
          <w:color w:val="auto"/>
          <w:szCs w:val="21"/>
          <w:highlight w:val="none"/>
        </w:rPr>
        <w:t>。</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投标人的书面说明材料包含货物本身成本、人工费用、运输、税收等，以及报价不会影响产品质量或诚信履约能力的说明等。</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投标人的书面说明应当签字确认或者加盖公章，否则无效。书面说明的签字确认，由其法定代表人（非法人单位负责人或自然人本人）或者其授权代表签字确认。</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pPr>
        <w:numPr>
          <w:ilvl w:val="0"/>
          <w:numId w:val="7"/>
        </w:num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拒绝或者变相拒绝提供有效书面说明；</w:t>
      </w:r>
    </w:p>
    <w:p>
      <w:pPr>
        <w:numPr>
          <w:ilvl w:val="0"/>
          <w:numId w:val="7"/>
        </w:num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书面说明不能证明其报价合理性的；</w:t>
      </w:r>
    </w:p>
    <w:p>
      <w:pPr>
        <w:numPr>
          <w:ilvl w:val="0"/>
          <w:numId w:val="7"/>
        </w:num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未在规定时间内递交有效书面说明书的。</w:t>
      </w:r>
    </w:p>
    <w:p>
      <w:pPr>
        <w:adjustRightInd w:val="0"/>
        <w:snapToGrid w:val="0"/>
        <w:spacing w:line="360" w:lineRule="auto"/>
        <w:ind w:firstLine="420" w:firstLineChars="200"/>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color w:val="auto"/>
          <w:kern w:val="0"/>
          <w:szCs w:val="21"/>
          <w:highlight w:val="none"/>
        </w:rPr>
        <w:t>★6</w:t>
      </w:r>
      <w:r>
        <w:rPr>
          <w:rFonts w:hint="eastAsia" w:ascii="仿宋_GB2312" w:hAnsi="仿宋_GB2312" w:eastAsia="仿宋_GB2312" w:cs="仿宋_GB2312"/>
          <w:b/>
          <w:bCs/>
          <w:color w:val="auto"/>
          <w:kern w:val="0"/>
          <w:szCs w:val="21"/>
          <w:highlight w:val="none"/>
        </w:rPr>
        <w:t>、需落实的政府采购政策性规定：</w:t>
      </w:r>
    </w:p>
    <w:p>
      <w:pPr>
        <w:adjustRightInd w:val="0"/>
        <w:snapToGrid w:val="0"/>
        <w:spacing w:line="360" w:lineRule="auto"/>
        <w:ind w:firstLine="420" w:firstLineChars="200"/>
        <w:rPr>
          <w:rFonts w:ascii="仿宋_GB2312" w:hAnsi="仿宋_GB2312" w:eastAsia="仿宋_GB2312" w:cs="仿宋_GB2312"/>
          <w:b/>
          <w:color w:val="auto"/>
          <w:kern w:val="0"/>
          <w:szCs w:val="21"/>
          <w:highlight w:val="none"/>
        </w:rPr>
      </w:pPr>
      <w:r>
        <w:rPr>
          <w:rFonts w:hint="eastAsia" w:ascii="仿宋_GB2312" w:hAnsi="仿宋_GB2312" w:eastAsia="仿宋_GB2312" w:cs="仿宋_GB2312"/>
          <w:b/>
          <w:color w:val="auto"/>
          <w:kern w:val="0"/>
          <w:szCs w:val="21"/>
          <w:highlight w:val="none"/>
        </w:rPr>
        <w:t>6.1对于中小微企业的相关规定</w:t>
      </w:r>
    </w:p>
    <w:p>
      <w:pPr>
        <w:adjustRightInd w:val="0"/>
        <w:snapToGrid w:val="0"/>
        <w:spacing w:line="360" w:lineRule="auto"/>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6.1.1对于非专门面向中小企业的项目，在满足价格扣除条件且在投标文件中按要求提交了《中小企业声明函》</w:t>
      </w:r>
      <w:r>
        <w:rPr>
          <w:rFonts w:hint="eastAsia" w:ascii="仿宋_GB2312" w:hAnsi="仿宋_GB2312" w:eastAsia="仿宋_GB2312" w:cs="仿宋_GB2312"/>
          <w:color w:val="auto"/>
          <w:kern w:val="0"/>
          <w:szCs w:val="21"/>
          <w:highlight w:val="none"/>
        </w:rPr>
        <w:t>的，</w:t>
      </w:r>
      <w:r>
        <w:rPr>
          <w:rFonts w:hint="eastAsia" w:ascii="仿宋_GB2312" w:hAnsi="仿宋_GB2312" w:eastAsia="仿宋_GB2312" w:cs="仿宋_GB2312"/>
          <w:color w:val="auto"/>
          <w:szCs w:val="21"/>
          <w:highlight w:val="none"/>
        </w:rPr>
        <w:t>对投标报价给予价格扣除，用扣除后的价格参与评审。投标报价扣除比例如下：</w:t>
      </w:r>
    </w:p>
    <w:p>
      <w:pPr>
        <w:adjustRightInd w:val="0"/>
        <w:snapToGrid w:val="0"/>
        <w:spacing w:line="360" w:lineRule="auto"/>
        <w:ind w:firstLine="210" w:firstLineChars="1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（1）非联合体投标</w:t>
      </w:r>
    </w:p>
    <w:p>
      <w:pPr>
        <w:adjustRightInd w:val="0"/>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w:t>
      </w:r>
      <w:r>
        <w:rPr>
          <w:rFonts w:hint="eastAsia" w:ascii="仿宋_GB2312" w:hAnsi="仿宋_GB2312" w:eastAsia="仿宋_GB2312" w:cs="仿宋_GB2312"/>
          <w:color w:val="auto"/>
          <w:szCs w:val="21"/>
          <w:highlight w:val="none"/>
        </w:rPr>
        <w:t xml:space="preserve">   小型和微型企业相应产品、服务投标报价的</w:t>
      </w:r>
      <w:r>
        <w:rPr>
          <w:rFonts w:hint="eastAsia" w:ascii="仿宋_GB2312" w:hAnsi="仿宋_GB2312" w:eastAsia="仿宋_GB2312" w:cs="仿宋_GB2312"/>
          <w:color w:val="auto"/>
          <w:kern w:val="0"/>
          <w:szCs w:val="21"/>
          <w:highlight w:val="none"/>
          <w:u w:val="single"/>
        </w:rPr>
        <w:t xml:space="preserve"> </w:t>
      </w:r>
      <w:r>
        <w:rPr>
          <w:rFonts w:ascii="仿宋_GB2312" w:hAnsi="仿宋_GB2312" w:eastAsia="仿宋_GB2312" w:cs="仿宋_GB2312"/>
          <w:color w:val="auto"/>
          <w:szCs w:val="21"/>
          <w:highlight w:val="none"/>
          <w:u w:val="single"/>
        </w:rPr>
        <w:t>8</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kern w:val="0"/>
          <w:szCs w:val="21"/>
          <w:highlight w:val="none"/>
        </w:rPr>
        <w:t>。</w:t>
      </w:r>
    </w:p>
    <w:p>
      <w:pPr>
        <w:adjustRightInd w:val="0"/>
        <w:snapToGrid w:val="0"/>
        <w:spacing w:line="360" w:lineRule="auto"/>
        <w:ind w:firstLine="210" w:firstLineChars="1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（2）联合体投标</w:t>
      </w:r>
    </w:p>
    <w:p>
      <w:pPr>
        <w:adjustRightInd w:val="0"/>
        <w:snapToGrid w:val="0"/>
        <w:spacing w:line="360" w:lineRule="auto"/>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hint="eastAsia" w:ascii="仿宋_GB2312" w:hAnsi="仿宋_GB2312" w:eastAsia="仿宋_GB2312" w:cs="仿宋_GB2312"/>
          <w:color w:val="auto"/>
          <w:kern w:val="0"/>
          <w:szCs w:val="21"/>
          <w:highlight w:val="none"/>
          <w:u w:val="single"/>
        </w:rPr>
        <w:t xml:space="preserve"> 3 </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szCs w:val="21"/>
          <w:highlight w:val="none"/>
        </w:rPr>
        <w:t>。</w:t>
      </w:r>
    </w:p>
    <w:p>
      <w:pPr>
        <w:adjustRightInd w:val="0"/>
        <w:snapToGrid w:val="0"/>
        <w:spacing w:line="360" w:lineRule="auto"/>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以联合体形式参加政府采购活动，联合体各方均为中小企业的，联合体视同中小企业。其中，联合体各方均为小微企业的，联合体视为小微企业。按第本款（1）条规定</w:t>
      </w:r>
      <w:r>
        <w:rPr>
          <w:rFonts w:hint="eastAsia" w:ascii="仿宋_GB2312" w:hAnsi="仿宋_GB2312" w:eastAsia="仿宋_GB2312" w:cs="仿宋_GB2312"/>
          <w:color w:val="auto"/>
          <w:szCs w:val="21"/>
          <w:highlight w:val="none"/>
        </w:rPr>
        <w:t>享受扶持政策。</w:t>
      </w:r>
    </w:p>
    <w:p>
      <w:pPr>
        <w:adjustRightInd w:val="0"/>
        <w:snapToGrid w:val="0"/>
        <w:spacing w:line="360" w:lineRule="auto"/>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非专门面向中小企业采购的项目，组成联合体的小微企业与联合体内其他企业、分包企业之间存在直接控股、管理关系的，不享受价格扣除优惠政策。</w:t>
      </w:r>
    </w:p>
    <w:p>
      <w:pPr>
        <w:adjustRightInd w:val="0"/>
        <w:snapToGrid w:val="0"/>
        <w:spacing w:line="360" w:lineRule="auto"/>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（注：专门面向中小企业采购的项目：组成联合体的中小企业与联合体内其他企业、分包企业之间不得存在直接控股、管理关系。） </w:t>
      </w:r>
    </w:p>
    <w:p>
      <w:pPr>
        <w:adjustRightInd w:val="0"/>
        <w:snapToGrid w:val="0"/>
        <w:spacing w:line="360" w:lineRule="auto"/>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6.1.2监狱企业视同小型、微型企业，在满足价格扣除条件且在投标文件中按要求提交了省级以上监狱管理局、戒毒管理局（含新疆生产建设兵团）出具的属于监狱企业的证明文件的，对其投标报价按本章6.1.1条款的比例予以扣除，</w:t>
      </w:r>
      <w:r>
        <w:rPr>
          <w:rFonts w:hint="eastAsia" w:ascii="仿宋_GB2312" w:hAnsi="仿宋_GB2312" w:eastAsia="仿宋_GB2312" w:cs="仿宋_GB2312"/>
          <w:color w:val="auto"/>
          <w:kern w:val="0"/>
          <w:szCs w:val="21"/>
          <w:highlight w:val="none"/>
        </w:rPr>
        <w:t>用扣除后的价格参与评审</w:t>
      </w:r>
      <w:r>
        <w:rPr>
          <w:rFonts w:hint="eastAsia" w:ascii="仿宋_GB2312" w:hAnsi="仿宋_GB2312" w:eastAsia="仿宋_GB2312" w:cs="仿宋_GB2312"/>
          <w:color w:val="auto"/>
          <w:szCs w:val="21"/>
          <w:highlight w:val="none"/>
        </w:rPr>
        <w:t>。</w:t>
      </w:r>
    </w:p>
    <w:p>
      <w:pPr>
        <w:adjustRightInd w:val="0"/>
        <w:snapToGrid w:val="0"/>
        <w:spacing w:line="360" w:lineRule="auto"/>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bCs/>
          <w:color w:val="auto"/>
          <w:kern w:val="0"/>
          <w:szCs w:val="21"/>
          <w:highlight w:val="none"/>
        </w:rPr>
        <w:t>6.1.3</w:t>
      </w:r>
      <w:r>
        <w:rPr>
          <w:rFonts w:hint="eastAsia" w:ascii="仿宋_GB2312" w:hAnsi="仿宋_GB2312" w:eastAsia="仿宋_GB2312" w:cs="仿宋_GB2312"/>
          <w:color w:val="auto"/>
          <w:szCs w:val="21"/>
          <w:highlight w:val="none"/>
        </w:rPr>
        <w:t>残疾人福利性单位视同小型、微型企业，在满足价格扣除条件且在</w:t>
      </w:r>
      <w:r>
        <w:rPr>
          <w:rFonts w:hint="eastAsia" w:ascii="仿宋_GB2312" w:hAnsi="仿宋_GB2312" w:eastAsia="仿宋_GB2312" w:cs="仿宋_GB2312"/>
          <w:color w:val="auto"/>
          <w:kern w:val="0"/>
          <w:szCs w:val="21"/>
          <w:highlight w:val="none"/>
        </w:rPr>
        <w:t>投标文件中提供了《残疾人福利性单位声明函》的，</w:t>
      </w:r>
      <w:r>
        <w:rPr>
          <w:rFonts w:hint="eastAsia" w:ascii="仿宋_GB2312" w:hAnsi="仿宋_GB2312" w:eastAsia="仿宋_GB2312" w:cs="仿宋_GB2312"/>
          <w:color w:val="auto"/>
          <w:szCs w:val="21"/>
          <w:highlight w:val="none"/>
        </w:rPr>
        <w:t>对其投标报价按本章6.1.1条款的比例予以扣除</w:t>
      </w:r>
      <w:r>
        <w:rPr>
          <w:rFonts w:hint="eastAsia" w:ascii="仿宋_GB2312" w:hAnsi="仿宋_GB2312" w:eastAsia="仿宋_GB2312" w:cs="仿宋_GB2312"/>
          <w:color w:val="auto"/>
          <w:kern w:val="0"/>
          <w:szCs w:val="21"/>
          <w:highlight w:val="none"/>
        </w:rPr>
        <w:t>，用扣除后的价格参与评审。</w:t>
      </w:r>
    </w:p>
    <w:p>
      <w:pPr>
        <w:adjustRightInd w:val="0"/>
        <w:snapToGrid w:val="0"/>
        <w:spacing w:line="360" w:lineRule="auto"/>
        <w:ind w:firstLine="420" w:firstLineChars="20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6.1.4残疾人福利性单位属于小型、微型企业的，不重复享受政策。</w:t>
      </w:r>
    </w:p>
    <w:p>
      <w:pPr>
        <w:adjustRightInd w:val="0"/>
        <w:snapToGrid w:val="0"/>
        <w:spacing w:line="360" w:lineRule="auto"/>
        <w:ind w:firstLine="420" w:firstLineChars="200"/>
        <w:rPr>
          <w:rFonts w:ascii="仿宋_GB2312" w:hAnsi="仿宋_GB2312" w:eastAsia="仿宋_GB2312" w:cs="仿宋_GB2312"/>
          <w:b/>
          <w:color w:val="auto"/>
          <w:kern w:val="0"/>
          <w:szCs w:val="21"/>
          <w:highlight w:val="none"/>
        </w:rPr>
      </w:pPr>
      <w:r>
        <w:rPr>
          <w:rFonts w:hint="eastAsia" w:ascii="仿宋_GB2312" w:hAnsi="仿宋_GB2312" w:eastAsia="仿宋_GB2312" w:cs="仿宋_GB2312"/>
          <w:b/>
          <w:color w:val="auto"/>
          <w:kern w:val="0"/>
          <w:szCs w:val="21"/>
          <w:highlight w:val="none"/>
        </w:rPr>
        <w:t>6.2对于节能产品、环境标志产品的相关规定</w:t>
      </w:r>
    </w:p>
    <w:p>
      <w:pPr>
        <w:numPr>
          <w:ilvl w:val="0"/>
          <w:numId w:val="8"/>
        </w:numPr>
        <w:adjustRightInd w:val="0"/>
        <w:snapToGrid w:val="0"/>
        <w:spacing w:line="360" w:lineRule="auto"/>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节能产品或环境标志产品，依据品目清单和认证证书实施政府优先采购。</w:t>
      </w:r>
      <w:r>
        <w:rPr>
          <w:rFonts w:hint="eastAsia" w:ascii="仿宋_GB2312" w:hAnsi="仿宋_GB2312" w:eastAsia="仿宋_GB2312" w:cs="仿宋_GB2312"/>
          <w:color w:val="auto"/>
          <w:highlight w:val="none"/>
        </w:rPr>
        <w:t>供应商</w:t>
      </w:r>
      <w:r>
        <w:rPr>
          <w:rFonts w:hint="eastAsia" w:ascii="仿宋_GB2312" w:hAnsi="仿宋_GB2312" w:eastAsia="仿宋_GB2312" w:cs="仿宋_GB2312"/>
          <w:color w:val="auto"/>
          <w:szCs w:val="21"/>
          <w:highlight w:val="none"/>
        </w:rPr>
        <w:t>应能够提供国家确定的认证机构出具的、处于有效期之内的节能产品、环境标志产品认证证书，方可对获得证书的产品优先推荐。</w:t>
      </w:r>
    </w:p>
    <w:p>
      <w:pPr>
        <w:adjustRightInd w:val="0"/>
        <w:snapToGrid w:val="0"/>
        <w:spacing w:line="360" w:lineRule="auto"/>
        <w:ind w:firstLine="630" w:firstLineChars="3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采用最低评标价法的，</w:t>
      </w:r>
      <w:r>
        <w:rPr>
          <w:rFonts w:hint="eastAsia" w:ascii="仿宋_GB2312" w:hAnsi="仿宋_GB2312" w:eastAsia="仿宋_GB2312" w:cs="仿宋_GB2312"/>
          <w:color w:val="auto"/>
          <w:szCs w:val="21"/>
          <w:highlight w:val="none"/>
        </w:rPr>
        <w:t>对</w:t>
      </w:r>
      <w:r>
        <w:rPr>
          <w:rFonts w:hint="eastAsia" w:ascii="仿宋_GB2312" w:hAnsi="仿宋_GB2312" w:eastAsia="仿宋_GB2312" w:cs="仿宋_GB2312"/>
          <w:color w:val="auto"/>
          <w:kern w:val="0"/>
          <w:szCs w:val="21"/>
          <w:highlight w:val="none"/>
        </w:rPr>
        <w:t>清单中投标产品的报价</w:t>
      </w:r>
      <w:r>
        <w:rPr>
          <w:rFonts w:hint="eastAsia" w:ascii="仿宋_GB2312" w:hAnsi="仿宋_GB2312" w:eastAsia="仿宋_GB2312" w:cs="仿宋_GB2312"/>
          <w:color w:val="auto"/>
          <w:szCs w:val="21"/>
          <w:highlight w:val="none"/>
        </w:rPr>
        <w:t>给予价格扣除，用扣除后的价格参与评审。报价扣除比例为</w:t>
      </w:r>
      <w:r>
        <w:rPr>
          <w:rFonts w:hint="eastAsia" w:ascii="仿宋_GB2312" w:hAnsi="仿宋_GB2312" w:eastAsia="仿宋_GB2312" w:cs="仿宋_GB2312"/>
          <w:color w:val="auto"/>
          <w:kern w:val="0"/>
          <w:szCs w:val="21"/>
          <w:highlight w:val="none"/>
        </w:rPr>
        <w:t>清单中产品报价的</w:t>
      </w:r>
      <w:r>
        <w:rPr>
          <w:rFonts w:hint="eastAsia" w:ascii="仿宋_GB2312" w:hAnsi="仿宋_GB2312" w:eastAsia="仿宋_GB2312" w:cs="仿宋_GB2312"/>
          <w:color w:val="auto"/>
          <w:szCs w:val="21"/>
          <w:highlight w:val="none"/>
          <w:u w:val="single"/>
        </w:rPr>
        <w:t xml:space="preserve">  3%  </w:t>
      </w:r>
      <w:r>
        <w:rPr>
          <w:rFonts w:hint="eastAsia" w:ascii="仿宋_GB2312" w:hAnsi="仿宋_GB2312" w:eastAsia="仿宋_GB2312" w:cs="仿宋_GB2312"/>
          <w:color w:val="auto"/>
          <w:szCs w:val="21"/>
          <w:highlight w:val="none"/>
        </w:rPr>
        <w:t xml:space="preserve"> 。</w:t>
      </w:r>
    </w:p>
    <w:p>
      <w:pPr>
        <w:adjustRightInd w:val="0"/>
        <w:snapToGrid w:val="0"/>
        <w:spacing w:line="360" w:lineRule="auto"/>
        <w:ind w:firstLine="630" w:firstLineChars="3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采用综合评分法评标的项目，对清单中产品给予相应的加分。（详见评分细则）</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（2）供应商应同时提供品目清单网络截图，并以明确标注所报产品信息和位置的方式，用以方便评审。</w:t>
      </w:r>
    </w:p>
    <w:p>
      <w:pPr>
        <w:adjustRightInd w:val="0"/>
        <w:snapToGrid w:val="0"/>
        <w:spacing w:line="360" w:lineRule="auto"/>
        <w:ind w:firstLine="420"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（3）认证机构和获证产品信息发布媒体：详见中国政府采购网（www.ccgp.gov.cn）建立的与认证结果信息发布平台的链接。</w:t>
      </w:r>
    </w:p>
    <w:p>
      <w:pPr>
        <w:adjustRightInd w:val="0"/>
        <w:spacing w:line="360" w:lineRule="auto"/>
        <w:ind w:firstLine="420" w:firstLineChars="200"/>
        <w:jc w:val="left"/>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6.3对于列入《辽宁省创新产品和服务目录》内的产品、服务的相关规定</w:t>
      </w:r>
    </w:p>
    <w:p>
      <w:pPr>
        <w:adjustRightInd w:val="0"/>
        <w:spacing w:line="360" w:lineRule="auto"/>
        <w:ind w:firstLine="420" w:firstLineChars="20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对列入《辽宁省创新产品和服务目录》内的投标产品、服务给予其投标报价</w:t>
      </w:r>
      <w:r>
        <w:rPr>
          <w:rFonts w:hint="eastAsia" w:ascii="仿宋_GB2312" w:hAnsi="仿宋_GB2312" w:eastAsia="仿宋_GB2312" w:cs="仿宋_GB2312"/>
          <w:color w:val="auto"/>
          <w:szCs w:val="21"/>
          <w:highlight w:val="none"/>
          <w:u w:val="single"/>
        </w:rPr>
        <w:t xml:space="preserve">  8%  </w:t>
      </w:r>
      <w:r>
        <w:rPr>
          <w:rFonts w:hint="eastAsia" w:ascii="仿宋_GB2312" w:hAnsi="仿宋_GB2312" w:eastAsia="仿宋_GB2312" w:cs="仿宋_GB2312"/>
          <w:color w:val="auto"/>
          <w:szCs w:val="21"/>
          <w:highlight w:val="none"/>
        </w:rPr>
        <w:t>的价格扣除，用扣除后的价格参与评审。</w:t>
      </w:r>
    </w:p>
    <w:p>
      <w:pPr>
        <w:adjustRightInd w:val="0"/>
        <w:snapToGrid w:val="0"/>
        <w:spacing w:line="360" w:lineRule="auto"/>
        <w:ind w:firstLine="420" w:firstLineChars="200"/>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color w:val="auto"/>
          <w:kern w:val="0"/>
          <w:szCs w:val="21"/>
          <w:highlight w:val="none"/>
        </w:rPr>
        <w:t>★7</w:t>
      </w:r>
      <w:r>
        <w:rPr>
          <w:rFonts w:hint="eastAsia" w:ascii="仿宋_GB2312" w:hAnsi="仿宋_GB2312" w:eastAsia="仿宋_GB2312" w:cs="仿宋_GB2312"/>
          <w:b/>
          <w:bCs/>
          <w:color w:val="auto"/>
          <w:kern w:val="0"/>
          <w:szCs w:val="21"/>
          <w:highlight w:val="none"/>
        </w:rPr>
        <w:t>、投标无效情况详见投标人须知。</w:t>
      </w:r>
    </w:p>
    <w:p>
      <w:pPr>
        <w:adjustRightInd w:val="0"/>
        <w:snapToGrid w:val="0"/>
        <w:spacing w:line="360" w:lineRule="auto"/>
        <w:ind w:firstLine="420" w:firstLineChars="200"/>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color w:val="auto"/>
          <w:kern w:val="0"/>
          <w:szCs w:val="21"/>
          <w:highlight w:val="none"/>
        </w:rPr>
        <w:t>★8</w:t>
      </w:r>
      <w:r>
        <w:rPr>
          <w:rFonts w:hint="eastAsia" w:ascii="仿宋_GB2312" w:hAnsi="仿宋_GB2312" w:eastAsia="仿宋_GB2312" w:cs="仿宋_GB2312"/>
          <w:b/>
          <w:bCs/>
          <w:color w:val="auto"/>
          <w:kern w:val="0"/>
          <w:szCs w:val="21"/>
          <w:highlight w:val="none"/>
        </w:rPr>
        <w:t>、推荐中标候选人的原则</w:t>
      </w:r>
    </w:p>
    <w:p>
      <w:pPr>
        <w:adjustRightInd w:val="0"/>
        <w:snapToGrid w:val="0"/>
        <w:spacing w:line="360" w:lineRule="auto"/>
        <w:ind w:firstLine="420" w:firstLineChars="20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详见第一章投标人须知第29条，具体处理办法如下：</w:t>
      </w:r>
    </w:p>
    <w:p>
      <w:pPr>
        <w:numPr>
          <w:ilvl w:val="0"/>
          <w:numId w:val="9"/>
        </w:num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采用最低评标价法的：</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扣除后的投标报价相同时，按投标报价由低至高排序；</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按前款不能区分的，优先采购节能产品、环境标志产品；</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其他情况，由评标委员会投票处理。</w:t>
      </w:r>
    </w:p>
    <w:p>
      <w:pPr>
        <w:numPr>
          <w:ilvl w:val="0"/>
          <w:numId w:val="9"/>
        </w:num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采用综合评分法的：</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得分相同的，按扣除后的投标报价由低到高顺序排序；</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按前款不能区分的，按投标报价由低至高顺序排序；</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按前款不能区分的，优先采购节能产品、环保产品；</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其他情况，由评标委员会投票处理。</w:t>
      </w:r>
    </w:p>
    <w:p>
      <w:pPr>
        <w:adjustRightInd w:val="0"/>
        <w:snapToGrid w:val="0"/>
        <w:spacing w:line="360" w:lineRule="auto"/>
        <w:ind w:firstLine="420" w:firstLineChars="200"/>
        <w:rPr>
          <w:rFonts w:ascii="仿宋_GB2312" w:hAnsi="仿宋_GB2312" w:eastAsia="仿宋_GB2312" w:cs="仿宋_GB2312"/>
          <w:b/>
          <w:color w:val="auto"/>
          <w:kern w:val="0"/>
          <w:szCs w:val="21"/>
          <w:highlight w:val="none"/>
        </w:rPr>
      </w:pPr>
      <w:bookmarkStart w:id="128" w:name="_Toc30297_WPSOffice_Level2"/>
      <w:r>
        <w:rPr>
          <w:rFonts w:hint="eastAsia" w:ascii="仿宋_GB2312" w:hAnsi="仿宋_GB2312" w:eastAsia="仿宋_GB2312" w:cs="仿宋_GB2312"/>
          <w:b/>
          <w:color w:val="auto"/>
          <w:szCs w:val="21"/>
          <w:highlight w:val="none"/>
        </w:rPr>
        <w:t>三、</w:t>
      </w:r>
      <w:r>
        <w:rPr>
          <w:rFonts w:hint="eastAsia" w:ascii="仿宋_GB2312" w:hAnsi="仿宋_GB2312" w:eastAsia="仿宋_GB2312" w:cs="仿宋_GB2312"/>
          <w:b/>
          <w:color w:val="auto"/>
          <w:kern w:val="0"/>
          <w:szCs w:val="21"/>
          <w:highlight w:val="none"/>
        </w:rPr>
        <w:t>确定中标人</w:t>
      </w:r>
      <w:bookmarkEnd w:id="128"/>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评标委员会根据全体评标委员会成员签字的原始评标记录和评标结果编写评标报告，并向采购人提交书面评标报告。</w:t>
      </w:r>
    </w:p>
    <w:p>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采购人按照评标报告确定的中标候选人名单按顺序确定中标人。</w:t>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highlight w:val="none"/>
        </w:rPr>
        <w:br w:type="page"/>
      </w:r>
      <w:bookmarkStart w:id="129" w:name="_Toc32318_WPSOffice_Level2"/>
      <w:r>
        <w:rPr>
          <w:rFonts w:hint="eastAsia" w:ascii="仿宋_GB2312" w:hAnsi="仿宋_GB2312" w:eastAsia="仿宋_GB2312" w:cs="仿宋_GB2312"/>
          <w:color w:val="auto"/>
          <w:szCs w:val="28"/>
          <w:highlight w:val="none"/>
        </w:rPr>
        <w:t xml:space="preserve">附件1 </w:t>
      </w:r>
    </w:p>
    <w:p>
      <w:pPr>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资格审查表</w:t>
      </w:r>
      <w:bookmarkEnd w:id="129"/>
    </w:p>
    <w:tbl>
      <w:tblPr>
        <w:tblStyle w:val="18"/>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837"/>
        <w:gridCol w:w="1982"/>
        <w:gridCol w:w="986"/>
        <w:gridCol w:w="962"/>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68" w:type="dxa"/>
            <w:vMerge w:val="restart"/>
            <w:vAlign w:val="center"/>
          </w:tcPr>
          <w:p>
            <w:pPr>
              <w:ind w:left="-96" w:leftChars="-46" w:right="-86" w:rightChars="-41"/>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3837" w:type="dxa"/>
            <w:vMerge w:val="restart"/>
            <w:vAlign w:val="center"/>
          </w:tcPr>
          <w:p>
            <w:pPr>
              <w:pStyle w:val="5"/>
              <w:adjustRightInd w:val="0"/>
              <w:snapToGrid w:val="0"/>
              <w:spacing w:before="0" w:after="0" w:line="240" w:lineRule="auto"/>
              <w:ind w:left="-96" w:leftChars="-46" w:right="-86" w:rightChars="-41"/>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审查项目</w:t>
            </w:r>
          </w:p>
        </w:tc>
        <w:tc>
          <w:tcPr>
            <w:tcW w:w="1982" w:type="dxa"/>
            <w:vMerge w:val="restart"/>
            <w:vAlign w:val="center"/>
          </w:tcPr>
          <w:p>
            <w:pPr>
              <w:pStyle w:val="5"/>
              <w:adjustRightInd w:val="0"/>
              <w:snapToGrid w:val="0"/>
              <w:spacing w:before="0" w:after="0" w:line="240" w:lineRule="auto"/>
              <w:ind w:left="-96" w:leftChars="-46" w:right="-86" w:rightChars="-41"/>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审查标准</w:t>
            </w:r>
          </w:p>
        </w:tc>
        <w:tc>
          <w:tcPr>
            <w:tcW w:w="2836" w:type="dxa"/>
            <w:gridSpan w:val="3"/>
            <w:vAlign w:val="center"/>
          </w:tcPr>
          <w:p>
            <w:pPr>
              <w:pStyle w:val="5"/>
              <w:adjustRightInd w:val="0"/>
              <w:snapToGrid w:val="0"/>
              <w:spacing w:before="0" w:after="0" w:line="240" w:lineRule="auto"/>
              <w:ind w:left="-96" w:leftChars="-46" w:right="-86" w:rightChars="-41"/>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68" w:type="dxa"/>
            <w:vMerge w:val="continue"/>
            <w:vAlign w:val="center"/>
          </w:tcPr>
          <w:p>
            <w:pPr>
              <w:pStyle w:val="5"/>
              <w:adjustRightInd w:val="0"/>
              <w:snapToGrid w:val="0"/>
              <w:spacing w:before="0" w:after="0" w:line="240" w:lineRule="auto"/>
              <w:rPr>
                <w:rFonts w:ascii="仿宋_GB2312" w:hAnsi="仿宋_GB2312" w:eastAsia="仿宋_GB2312" w:cs="仿宋_GB2312"/>
                <w:color w:val="auto"/>
                <w:highlight w:val="none"/>
              </w:rPr>
            </w:pPr>
          </w:p>
        </w:tc>
        <w:tc>
          <w:tcPr>
            <w:tcW w:w="3837" w:type="dxa"/>
            <w:vMerge w:val="continue"/>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1982" w:type="dxa"/>
            <w:vMerge w:val="continue"/>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6" w:type="dxa"/>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62" w:type="dxa"/>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888" w:type="dxa"/>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68" w:type="dxa"/>
            <w:vAlign w:val="center"/>
          </w:tcPr>
          <w:p>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3837" w:type="dxa"/>
            <w:vAlign w:val="center"/>
          </w:tcPr>
          <w:p>
            <w:pPr>
              <w:adjustRightInd w:val="0"/>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营业执照或事业单位法人证书或执业许可证等证明文件复印件或自然人的身份证明复印件（自然人身份证明仅在自然人作为投标主体时适用）</w:t>
            </w:r>
          </w:p>
        </w:tc>
        <w:tc>
          <w:tcPr>
            <w:tcW w:w="1982"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86" w:type="dxa"/>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62" w:type="dxa"/>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888" w:type="dxa"/>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8" w:type="dxa"/>
            <w:vAlign w:val="center"/>
          </w:tcPr>
          <w:p>
            <w:pPr>
              <w:widowControl/>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3837" w:type="dxa"/>
            <w:vAlign w:val="center"/>
          </w:tcPr>
          <w:p>
            <w:pPr>
              <w:widowControl/>
              <w:adjustRightInd w:val="0"/>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组织机构代码证复印件（三证合一的不需提供）</w:t>
            </w:r>
          </w:p>
        </w:tc>
        <w:tc>
          <w:tcPr>
            <w:tcW w:w="1982"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86"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6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888"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8" w:type="dxa"/>
            <w:vAlign w:val="center"/>
          </w:tcPr>
          <w:p>
            <w:pPr>
              <w:widowControl/>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3837" w:type="dxa"/>
            <w:vAlign w:val="center"/>
          </w:tcPr>
          <w:p>
            <w:pPr>
              <w:widowControl/>
              <w:adjustRightInd w:val="0"/>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税务登记证复印件（三证合一的不需提供）</w:t>
            </w:r>
          </w:p>
        </w:tc>
        <w:tc>
          <w:tcPr>
            <w:tcW w:w="1982"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86"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6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888"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8" w:type="dxa"/>
            <w:vAlign w:val="center"/>
          </w:tcPr>
          <w:p>
            <w:pPr>
              <w:widowControl/>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4</w:t>
            </w:r>
          </w:p>
        </w:tc>
        <w:tc>
          <w:tcPr>
            <w:tcW w:w="3837" w:type="dxa"/>
            <w:vAlign w:val="center"/>
          </w:tcPr>
          <w:p>
            <w:pPr>
              <w:widowControl/>
              <w:adjustRightInd w:val="0"/>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法定代表人（或非法人组织负责人）身份证明书（自然人投标的无需提供）</w:t>
            </w:r>
          </w:p>
        </w:tc>
        <w:tc>
          <w:tcPr>
            <w:tcW w:w="1982"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2.按规定签章</w:t>
            </w:r>
          </w:p>
        </w:tc>
        <w:tc>
          <w:tcPr>
            <w:tcW w:w="986"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6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888"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68" w:type="dxa"/>
            <w:vAlign w:val="center"/>
          </w:tcPr>
          <w:p>
            <w:pPr>
              <w:widowControl/>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3837" w:type="dxa"/>
            <w:vAlign w:val="center"/>
          </w:tcPr>
          <w:p>
            <w:pPr>
              <w:widowControl/>
              <w:adjustRightInd w:val="0"/>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法定代表人（或非法人组织负责人）授权委托书（授权委托人参加投标的须提供）</w:t>
            </w:r>
          </w:p>
        </w:tc>
        <w:tc>
          <w:tcPr>
            <w:tcW w:w="1982"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2.按规定签章</w:t>
            </w:r>
          </w:p>
        </w:tc>
        <w:tc>
          <w:tcPr>
            <w:tcW w:w="986"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6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888"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68" w:type="dxa"/>
            <w:vAlign w:val="center"/>
          </w:tcPr>
          <w:p>
            <w:pPr>
              <w:widowControl/>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3837" w:type="dxa"/>
            <w:vAlign w:val="center"/>
          </w:tcPr>
          <w:p>
            <w:pPr>
              <w:widowControl/>
              <w:adjustRightInd w:val="0"/>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具有良好的商业信誉和健全的财务会计制度的承诺函</w:t>
            </w:r>
          </w:p>
        </w:tc>
        <w:tc>
          <w:tcPr>
            <w:tcW w:w="1982"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1.信息完整</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2.按规定签章</w:t>
            </w:r>
          </w:p>
        </w:tc>
        <w:tc>
          <w:tcPr>
            <w:tcW w:w="986"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6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888"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68" w:type="dxa"/>
            <w:vAlign w:val="center"/>
          </w:tcPr>
          <w:p>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w:t>
            </w:r>
          </w:p>
        </w:tc>
        <w:tc>
          <w:tcPr>
            <w:tcW w:w="3837" w:type="dxa"/>
            <w:vAlign w:val="center"/>
          </w:tcPr>
          <w:p>
            <w:pPr>
              <w:adjustRightInd w:val="0"/>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开标时间前六个月内任一个月的依法缴纳税收的缴款凭据复印件</w:t>
            </w:r>
          </w:p>
          <w:p>
            <w:pPr>
              <w:adjustRightInd w:val="0"/>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（注：依法免税的投标人，应提供相关证明材料，包括相关法规要求原文及加盖单位公章的情况说明）</w:t>
            </w:r>
          </w:p>
        </w:tc>
        <w:tc>
          <w:tcPr>
            <w:tcW w:w="1982"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86"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6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888"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68" w:type="dxa"/>
            <w:vAlign w:val="center"/>
          </w:tcPr>
          <w:p>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p>
        </w:tc>
        <w:tc>
          <w:tcPr>
            <w:tcW w:w="3837" w:type="dxa"/>
            <w:vAlign w:val="center"/>
          </w:tcPr>
          <w:p>
            <w:pPr>
              <w:adjustRightInd w:val="0"/>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开标时间前六个月内任一个月的依法缴纳社会保障资金的缴款凭据复印件（注：依法不需要缴纳社会保障资金的投标人，应提供相关证明材料，包括相关法规要求原文及加盖单位公章的情况说明）</w:t>
            </w:r>
          </w:p>
        </w:tc>
        <w:tc>
          <w:tcPr>
            <w:tcW w:w="1982"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986"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6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888"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68" w:type="dxa"/>
            <w:vAlign w:val="center"/>
          </w:tcPr>
          <w:p>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w:t>
            </w:r>
          </w:p>
        </w:tc>
        <w:tc>
          <w:tcPr>
            <w:tcW w:w="3837" w:type="dxa"/>
            <w:vAlign w:val="center"/>
          </w:tcPr>
          <w:p>
            <w:pPr>
              <w:adjustRightInd w:val="0"/>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具备履行合同所必需的设备和专业技术能力声明函</w:t>
            </w:r>
          </w:p>
        </w:tc>
        <w:tc>
          <w:tcPr>
            <w:tcW w:w="1982"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1.信息完整</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2.按规定签章</w:t>
            </w:r>
          </w:p>
        </w:tc>
        <w:tc>
          <w:tcPr>
            <w:tcW w:w="986"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6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888"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8" w:type="dxa"/>
            <w:vAlign w:val="center"/>
          </w:tcPr>
          <w:p>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10</w:t>
            </w:r>
          </w:p>
        </w:tc>
        <w:tc>
          <w:tcPr>
            <w:tcW w:w="3837" w:type="dxa"/>
            <w:vAlign w:val="center"/>
          </w:tcPr>
          <w:p>
            <w:pPr>
              <w:adjustRightInd w:val="0"/>
              <w:snapToGrid w:val="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参加政府采购活动前3年内在经营活动中没有重大违法记录的书面声明</w:t>
            </w:r>
          </w:p>
        </w:tc>
        <w:tc>
          <w:tcPr>
            <w:tcW w:w="1982"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2.按规定签章</w:t>
            </w:r>
          </w:p>
        </w:tc>
        <w:tc>
          <w:tcPr>
            <w:tcW w:w="986"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6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888"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8" w:type="dxa"/>
            <w:vAlign w:val="center"/>
          </w:tcPr>
          <w:p>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w:t>
            </w:r>
          </w:p>
        </w:tc>
        <w:tc>
          <w:tcPr>
            <w:tcW w:w="3837" w:type="dxa"/>
            <w:vAlign w:val="center"/>
          </w:tcPr>
          <w:p>
            <w:pPr>
              <w:snapToGrid w:val="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信用记录（</w:t>
            </w:r>
            <w:r>
              <w:rPr>
                <w:rFonts w:hint="eastAsia" w:ascii="仿宋_GB2312" w:hAnsi="仿宋_GB2312" w:eastAsia="仿宋_GB2312" w:cs="仿宋_GB2312"/>
                <w:color w:val="auto"/>
                <w:szCs w:val="21"/>
                <w:highlight w:val="none"/>
              </w:rPr>
              <w:t>采购人或采购代理机构将按照招标文件规定的审查期间内进行查询</w:t>
            </w:r>
            <w:r>
              <w:rPr>
                <w:rFonts w:hint="eastAsia" w:ascii="仿宋_GB2312" w:hAnsi="仿宋_GB2312" w:eastAsia="仿宋_GB2312" w:cs="仿宋_GB2312"/>
                <w:color w:val="auto"/>
                <w:highlight w:val="none"/>
              </w:rPr>
              <w:t>）</w:t>
            </w:r>
          </w:p>
        </w:tc>
        <w:tc>
          <w:tcPr>
            <w:tcW w:w="1982"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无投标须知22.2.1所述的不良记录</w:t>
            </w:r>
          </w:p>
        </w:tc>
        <w:tc>
          <w:tcPr>
            <w:tcW w:w="986"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6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888"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8" w:type="dxa"/>
            <w:vAlign w:val="center"/>
          </w:tcPr>
          <w:p>
            <w:pPr>
              <w:snapToGrid w:val="0"/>
              <w:jc w:val="center"/>
              <w:rPr>
                <w:rFonts w:ascii="仿宋_GB2312" w:hAnsi="仿宋_GB2312" w:eastAsia="仿宋_GB2312" w:cs="仿宋_GB2312"/>
                <w:color w:val="auto"/>
                <w:highlight w:val="none"/>
              </w:rPr>
            </w:pPr>
          </w:p>
        </w:tc>
        <w:tc>
          <w:tcPr>
            <w:tcW w:w="3837" w:type="dxa"/>
            <w:vAlign w:val="center"/>
          </w:tcPr>
          <w:p>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结论</w:t>
            </w:r>
          </w:p>
        </w:tc>
        <w:tc>
          <w:tcPr>
            <w:tcW w:w="198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6"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6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888"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bl>
    <w:p>
      <w:pPr>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填表说明：1、每项内容审查合格，在表中填写“√”；不合格填写“×”</w:t>
      </w:r>
    </w:p>
    <w:p>
      <w:pPr>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2、审查结论填写“通过”或“不通过”</w:t>
      </w:r>
    </w:p>
    <w:p>
      <w:pPr>
        <w:rPr>
          <w:rFonts w:ascii="仿宋_GB2312" w:hAnsi="仿宋_GB2312" w:eastAsia="仿宋_GB2312" w:cs="仿宋_GB2312"/>
          <w:color w:val="auto"/>
          <w:highlight w:val="none"/>
        </w:rPr>
      </w:pPr>
    </w:p>
    <w:p>
      <w:pPr>
        <w:pStyle w:val="15"/>
        <w:widowControl w:val="0"/>
        <w:snapToGrid w:val="0"/>
        <w:spacing w:before="0" w:beforeAutospacing="0" w:after="0" w:afterAutospacing="0" w:line="480" w:lineRule="auto"/>
        <w:jc w:val="both"/>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审查人签字：</w:t>
      </w:r>
    </w:p>
    <w:p>
      <w:pPr>
        <w:pStyle w:val="15"/>
        <w:widowControl w:val="0"/>
        <w:snapToGrid w:val="0"/>
        <w:spacing w:before="0" w:beforeAutospacing="0" w:after="0" w:afterAutospacing="0" w:line="480" w:lineRule="auto"/>
        <w:jc w:val="both"/>
        <w:rPr>
          <w:rFonts w:ascii="仿宋_GB2312" w:hAnsi="仿宋_GB2312" w:eastAsia="仿宋_GB2312" w:cs="仿宋_GB2312"/>
          <w:b/>
          <w:color w:val="auto"/>
          <w:sz w:val="21"/>
          <w:szCs w:val="21"/>
          <w:highlight w:val="none"/>
        </w:rPr>
      </w:pPr>
      <w:r>
        <w:rPr>
          <w:rFonts w:hint="eastAsia" w:ascii="仿宋_GB2312" w:hAnsi="仿宋_GB2312" w:eastAsia="仿宋_GB2312" w:cs="仿宋_GB2312"/>
          <w:bCs/>
          <w:color w:val="auto"/>
          <w:sz w:val="21"/>
          <w:szCs w:val="21"/>
          <w:highlight w:val="none"/>
        </w:rPr>
        <w:t>日      期：</w:t>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bookmarkStart w:id="130" w:name="_Toc11558_WPSOffice_Level2"/>
      <w:r>
        <w:rPr>
          <w:rFonts w:hint="eastAsia" w:ascii="仿宋_GB2312" w:hAnsi="仿宋_GB2312" w:eastAsia="仿宋_GB2312" w:cs="仿宋_GB2312"/>
          <w:color w:val="auto"/>
          <w:szCs w:val="28"/>
          <w:highlight w:val="none"/>
        </w:rPr>
        <w:t xml:space="preserve">附件2                  </w:t>
      </w:r>
    </w:p>
    <w:p>
      <w:pPr>
        <w:rPr>
          <w:color w:val="auto"/>
          <w:highlight w:val="none"/>
        </w:rPr>
      </w:pPr>
    </w:p>
    <w:p>
      <w:pPr>
        <w:pStyle w:val="2"/>
        <w:ind w:firstLine="210"/>
        <w:rPr>
          <w:color w:val="auto"/>
          <w:highlight w:val="none"/>
        </w:rPr>
      </w:pPr>
    </w:p>
    <w:p>
      <w:pPr>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符合性审查表</w:t>
      </w:r>
      <w:bookmarkEnd w:id="130"/>
    </w:p>
    <w:tbl>
      <w:tblPr>
        <w:tblStyle w:val="18"/>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06"/>
        <w:gridCol w:w="3004"/>
        <w:gridCol w:w="1095"/>
        <w:gridCol w:w="98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48" w:type="dxa"/>
            <w:vMerge w:val="restart"/>
            <w:vAlign w:val="center"/>
          </w:tcPr>
          <w:p>
            <w:pPr>
              <w:ind w:left="-84" w:leftChars="-40" w:right="-75" w:rightChars="-36"/>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2606" w:type="dxa"/>
            <w:vMerge w:val="restart"/>
            <w:vAlign w:val="center"/>
          </w:tcPr>
          <w:p>
            <w:pPr>
              <w:ind w:left="-84" w:leftChars="-40" w:right="-75" w:rightChars="-36"/>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审查项目</w:t>
            </w:r>
          </w:p>
        </w:tc>
        <w:tc>
          <w:tcPr>
            <w:tcW w:w="3004" w:type="dxa"/>
            <w:vMerge w:val="restart"/>
            <w:vAlign w:val="center"/>
          </w:tcPr>
          <w:p>
            <w:pPr>
              <w:ind w:left="-84" w:leftChars="-40" w:right="-75" w:rightChars="-36"/>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审查标准</w:t>
            </w:r>
          </w:p>
        </w:tc>
        <w:tc>
          <w:tcPr>
            <w:tcW w:w="2992" w:type="dxa"/>
            <w:gridSpan w:val="3"/>
            <w:vAlign w:val="center"/>
          </w:tcPr>
          <w:p>
            <w:pPr>
              <w:ind w:left="-84" w:leftChars="-40" w:right="-75" w:rightChars="-36"/>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8" w:type="dxa"/>
            <w:vMerge w:val="continue"/>
            <w:vAlign w:val="center"/>
          </w:tcPr>
          <w:p>
            <w:pPr>
              <w:pStyle w:val="5"/>
              <w:adjustRightInd w:val="0"/>
              <w:snapToGrid w:val="0"/>
              <w:spacing w:before="0" w:after="0" w:line="240" w:lineRule="auto"/>
              <w:rPr>
                <w:rFonts w:ascii="仿宋_GB2312" w:hAnsi="仿宋_GB2312" w:eastAsia="仿宋_GB2312" w:cs="仿宋_GB2312"/>
                <w:color w:val="auto"/>
                <w:highlight w:val="none"/>
              </w:rPr>
            </w:pPr>
          </w:p>
        </w:tc>
        <w:tc>
          <w:tcPr>
            <w:tcW w:w="2606" w:type="dxa"/>
            <w:vMerge w:val="continue"/>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3004" w:type="dxa"/>
            <w:vMerge w:val="continue"/>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1095" w:type="dxa"/>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48"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0"/>
                <w:szCs w:val="21"/>
                <w:highlight w:val="none"/>
              </w:rPr>
              <w:t>1</w:t>
            </w:r>
          </w:p>
        </w:tc>
        <w:tc>
          <w:tcPr>
            <w:tcW w:w="2606" w:type="dxa"/>
            <w:vAlign w:val="center"/>
          </w:tcPr>
          <w:p>
            <w:pP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kern w:val="0"/>
                <w:szCs w:val="21"/>
                <w:highlight w:val="none"/>
              </w:rPr>
              <w:t>投标函</w:t>
            </w:r>
          </w:p>
        </w:tc>
        <w:tc>
          <w:tcPr>
            <w:tcW w:w="3004" w:type="dxa"/>
          </w:tcPr>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pPr>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2.响应招标文件实质性要求</w:t>
            </w:r>
          </w:p>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3.按规定签章</w:t>
            </w:r>
          </w:p>
        </w:tc>
        <w:tc>
          <w:tcPr>
            <w:tcW w:w="1095" w:type="dxa"/>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vAlign w:val="center"/>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48" w:type="dxa"/>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w:t>
            </w:r>
          </w:p>
        </w:tc>
        <w:tc>
          <w:tcPr>
            <w:tcW w:w="2606" w:type="dxa"/>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递交投标保证金证明复印件</w:t>
            </w:r>
          </w:p>
        </w:tc>
        <w:tc>
          <w:tcPr>
            <w:tcW w:w="3004" w:type="dxa"/>
          </w:tcPr>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1.按要求提供</w:t>
            </w:r>
          </w:p>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2.合法有效</w:t>
            </w:r>
          </w:p>
        </w:tc>
        <w:tc>
          <w:tcPr>
            <w:tcW w:w="109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48"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Cs w:val="21"/>
                <w:highlight w:val="none"/>
              </w:rPr>
              <w:t>3</w:t>
            </w:r>
          </w:p>
        </w:tc>
        <w:tc>
          <w:tcPr>
            <w:tcW w:w="2606" w:type="dxa"/>
            <w:vAlign w:val="center"/>
          </w:tcPr>
          <w:p>
            <w:pP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kern w:val="0"/>
                <w:szCs w:val="21"/>
                <w:highlight w:val="none"/>
              </w:rPr>
              <w:t>开标一览表</w:t>
            </w:r>
          </w:p>
        </w:tc>
        <w:tc>
          <w:tcPr>
            <w:tcW w:w="3004" w:type="dxa"/>
          </w:tcPr>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pPr>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2.响应招标文件实质性要求</w:t>
            </w:r>
          </w:p>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3.按规定签章</w:t>
            </w:r>
          </w:p>
        </w:tc>
        <w:tc>
          <w:tcPr>
            <w:tcW w:w="109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48"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Cs w:val="21"/>
                <w:highlight w:val="none"/>
              </w:rPr>
              <w:t>4</w:t>
            </w:r>
          </w:p>
        </w:tc>
        <w:tc>
          <w:tcPr>
            <w:tcW w:w="2606" w:type="dxa"/>
            <w:vAlign w:val="center"/>
          </w:tcPr>
          <w:p>
            <w:pP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kern w:val="0"/>
                <w:szCs w:val="21"/>
                <w:highlight w:val="none"/>
              </w:rPr>
              <w:t>分项报价表</w:t>
            </w:r>
          </w:p>
        </w:tc>
        <w:tc>
          <w:tcPr>
            <w:tcW w:w="3004" w:type="dxa"/>
          </w:tcPr>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1.按给定格式填写，信息完整</w:t>
            </w:r>
          </w:p>
          <w:p>
            <w:pPr>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2.响应招标文件实质性要求</w:t>
            </w:r>
          </w:p>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3.按规定签章</w:t>
            </w:r>
          </w:p>
        </w:tc>
        <w:tc>
          <w:tcPr>
            <w:tcW w:w="109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48"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Cs w:val="21"/>
                <w:highlight w:val="none"/>
              </w:rPr>
              <w:t>5</w:t>
            </w:r>
          </w:p>
        </w:tc>
        <w:tc>
          <w:tcPr>
            <w:tcW w:w="2606" w:type="dxa"/>
            <w:vAlign w:val="center"/>
          </w:tcPr>
          <w:p>
            <w:pP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kern w:val="0"/>
                <w:szCs w:val="21"/>
                <w:highlight w:val="none"/>
              </w:rPr>
              <w:t>技术规格偏离表</w:t>
            </w:r>
          </w:p>
        </w:tc>
        <w:tc>
          <w:tcPr>
            <w:tcW w:w="3004" w:type="dxa"/>
          </w:tcPr>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1.按给定格式及填表要求填写</w:t>
            </w:r>
          </w:p>
          <w:p>
            <w:pPr>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2.响应招标文件实质性要求</w:t>
            </w:r>
          </w:p>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3.按规定签章</w:t>
            </w:r>
          </w:p>
        </w:tc>
        <w:tc>
          <w:tcPr>
            <w:tcW w:w="109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48"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Cs w:val="21"/>
                <w:highlight w:val="none"/>
              </w:rPr>
              <w:t>6</w:t>
            </w:r>
          </w:p>
        </w:tc>
        <w:tc>
          <w:tcPr>
            <w:tcW w:w="2606" w:type="dxa"/>
            <w:vAlign w:val="center"/>
          </w:tcPr>
          <w:p>
            <w:pP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kern w:val="0"/>
                <w:szCs w:val="21"/>
                <w:highlight w:val="none"/>
              </w:rPr>
              <w:t>商务条款偏离表</w:t>
            </w:r>
          </w:p>
        </w:tc>
        <w:tc>
          <w:tcPr>
            <w:tcW w:w="3004" w:type="dxa"/>
          </w:tcPr>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1.按给定格式及填表要求填写</w:t>
            </w:r>
          </w:p>
          <w:p>
            <w:pPr>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2.响应招标文件实质性要求</w:t>
            </w:r>
          </w:p>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3.按规定签章</w:t>
            </w:r>
          </w:p>
        </w:tc>
        <w:tc>
          <w:tcPr>
            <w:tcW w:w="109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48"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Cs w:val="21"/>
                <w:highlight w:val="none"/>
              </w:rPr>
              <w:t>7</w:t>
            </w:r>
          </w:p>
        </w:tc>
        <w:tc>
          <w:tcPr>
            <w:tcW w:w="2606" w:type="dxa"/>
            <w:vAlign w:val="center"/>
          </w:tcPr>
          <w:p>
            <w:pP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kern w:val="0"/>
                <w:szCs w:val="21"/>
                <w:highlight w:val="none"/>
              </w:rPr>
              <w:t>投标人关联单位说明</w:t>
            </w:r>
          </w:p>
        </w:tc>
        <w:tc>
          <w:tcPr>
            <w:tcW w:w="3004"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无投标须知1.5所述情形</w:t>
            </w:r>
          </w:p>
        </w:tc>
        <w:tc>
          <w:tcPr>
            <w:tcW w:w="109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48" w:type="dxa"/>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8</w:t>
            </w:r>
          </w:p>
        </w:tc>
        <w:tc>
          <w:tcPr>
            <w:tcW w:w="2606" w:type="dxa"/>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电子文件与备份文件内容、格式一致性承诺函</w:t>
            </w:r>
          </w:p>
        </w:tc>
        <w:tc>
          <w:tcPr>
            <w:tcW w:w="3004"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2.按规定签章</w:t>
            </w:r>
          </w:p>
        </w:tc>
        <w:tc>
          <w:tcPr>
            <w:tcW w:w="109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48" w:type="dxa"/>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9</w:t>
            </w:r>
          </w:p>
        </w:tc>
        <w:tc>
          <w:tcPr>
            <w:tcW w:w="2606"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其他符合性证明材料：</w:t>
            </w:r>
          </w:p>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货物主要技术指标和性能的详细说明（产品技术说明书、技术白皮书、产品彩页等文字资料、图纸和数据均可）</w:t>
            </w:r>
          </w:p>
        </w:tc>
        <w:tc>
          <w:tcPr>
            <w:tcW w:w="3004"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响应招标文件实质性要求</w:t>
            </w:r>
          </w:p>
        </w:tc>
        <w:tc>
          <w:tcPr>
            <w:tcW w:w="109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8"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2606"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投标人如为代理商须提供制造厂商或区域代理商出具的产品授权书和售后服务承诺书，若由区域代理商出具，还需提供区域代理商的证明文件（产品授权书及售后服务承诺书不是中文时，应附中文译本并加盖单位公章，如不一致，以中文为准，制造厂商出具的产品授权书须符合招标文件格式16要求）</w:t>
            </w:r>
          </w:p>
        </w:tc>
        <w:tc>
          <w:tcPr>
            <w:tcW w:w="3004"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1.按给定格式填写</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2.响应招标文件实质性要求</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3.按规定签章</w:t>
            </w:r>
          </w:p>
        </w:tc>
        <w:tc>
          <w:tcPr>
            <w:tcW w:w="109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48" w:type="dxa"/>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ascii="仿宋_GB2312" w:hAnsi="仿宋_GB2312" w:eastAsia="仿宋_GB2312" w:cs="仿宋_GB2312"/>
                <w:color w:val="auto"/>
                <w:szCs w:val="21"/>
                <w:highlight w:val="none"/>
              </w:rPr>
              <w:t>1</w:t>
            </w:r>
          </w:p>
        </w:tc>
        <w:tc>
          <w:tcPr>
            <w:tcW w:w="2606" w:type="dxa"/>
            <w:vAlign w:val="center"/>
          </w:tcPr>
          <w:p>
            <w:pPr>
              <w:adjustRightInd w:val="0"/>
              <w:snapToGrid w:val="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投标人售后服务承诺书</w:t>
            </w:r>
          </w:p>
        </w:tc>
        <w:tc>
          <w:tcPr>
            <w:tcW w:w="3004" w:type="dxa"/>
            <w:vAlign w:val="center"/>
          </w:tcPr>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1.信息完整</w:t>
            </w:r>
          </w:p>
          <w:p>
            <w:pPr>
              <w:pStyle w:val="5"/>
              <w:adjustRightInd w:val="0"/>
              <w:snapToGrid w:val="0"/>
              <w:spacing w:before="0" w:after="0" w:line="240" w:lineRule="auto"/>
              <w:jc w:val="both"/>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2.按规定签章</w:t>
            </w:r>
          </w:p>
        </w:tc>
        <w:tc>
          <w:tcPr>
            <w:tcW w:w="109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8" w:type="dxa"/>
            <w:vAlign w:val="center"/>
          </w:tcPr>
          <w:p>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ascii="仿宋_GB2312" w:hAnsi="仿宋_GB2312" w:eastAsia="仿宋_GB2312" w:cs="仿宋_GB2312"/>
                <w:color w:val="auto"/>
                <w:highlight w:val="none"/>
              </w:rPr>
              <w:t>2</w:t>
            </w:r>
          </w:p>
        </w:tc>
        <w:tc>
          <w:tcPr>
            <w:tcW w:w="2606" w:type="dxa"/>
            <w:vAlign w:val="center"/>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投标报价</w:t>
            </w:r>
          </w:p>
        </w:tc>
        <w:tc>
          <w:tcPr>
            <w:tcW w:w="3004" w:type="dxa"/>
          </w:tcPr>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1.响应招标文件实质性要求</w:t>
            </w:r>
          </w:p>
          <w:p>
            <w:pPr>
              <w:pStyle w:val="5"/>
              <w:adjustRightInd w:val="0"/>
              <w:snapToGrid w:val="0"/>
              <w:spacing w:before="0" w:after="0" w:line="240" w:lineRule="auto"/>
              <w:jc w:val="left"/>
              <w:rPr>
                <w:rFonts w:ascii="仿宋_GB2312" w:hAnsi="仿宋_GB2312" w:eastAsia="仿宋_GB2312" w:cs="仿宋_GB2312"/>
                <w:b w:val="0"/>
                <w:color w:val="auto"/>
                <w:sz w:val="21"/>
                <w:szCs w:val="21"/>
                <w:highlight w:val="none"/>
              </w:rPr>
            </w:pPr>
            <w:r>
              <w:rPr>
                <w:rFonts w:hint="eastAsia" w:ascii="仿宋_GB2312" w:hAnsi="仿宋_GB2312" w:eastAsia="仿宋_GB2312" w:cs="仿宋_GB2312"/>
                <w:b w:val="0"/>
                <w:color w:val="auto"/>
                <w:sz w:val="21"/>
                <w:szCs w:val="21"/>
                <w:highlight w:val="none"/>
              </w:rPr>
              <w:t>2.无投标须知26.2所述情形</w:t>
            </w:r>
          </w:p>
        </w:tc>
        <w:tc>
          <w:tcPr>
            <w:tcW w:w="109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48" w:type="dxa"/>
            <w:vAlign w:val="center"/>
          </w:tcPr>
          <w:p>
            <w:pPr>
              <w:snapToGrid w:val="0"/>
              <w:jc w:val="center"/>
              <w:rPr>
                <w:rFonts w:ascii="仿宋_GB2312" w:hAnsi="仿宋_GB2312" w:eastAsia="仿宋_GB2312" w:cs="仿宋_GB2312"/>
                <w:color w:val="auto"/>
                <w:highlight w:val="none"/>
              </w:rPr>
            </w:pPr>
          </w:p>
        </w:tc>
        <w:tc>
          <w:tcPr>
            <w:tcW w:w="2606" w:type="dxa"/>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结论</w:t>
            </w:r>
          </w:p>
        </w:tc>
        <w:tc>
          <w:tcPr>
            <w:tcW w:w="3004"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109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85"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c>
          <w:tcPr>
            <w:tcW w:w="912" w:type="dxa"/>
          </w:tcPr>
          <w:p>
            <w:pPr>
              <w:pStyle w:val="5"/>
              <w:adjustRightInd w:val="0"/>
              <w:snapToGrid w:val="0"/>
              <w:spacing w:before="0" w:after="0" w:line="240" w:lineRule="auto"/>
              <w:rPr>
                <w:rFonts w:ascii="仿宋_GB2312" w:hAnsi="仿宋_GB2312" w:eastAsia="仿宋_GB2312" w:cs="仿宋_GB2312"/>
                <w:color w:val="auto"/>
                <w:sz w:val="21"/>
                <w:szCs w:val="21"/>
                <w:highlight w:val="none"/>
              </w:rPr>
            </w:pPr>
          </w:p>
        </w:tc>
      </w:tr>
    </w:tbl>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填表说明：1、每项内容审查合格，在表中填写“√”；不合格填写“×”</w:t>
      </w:r>
    </w:p>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2、审查结论填写“通过”或“不通过”</w:t>
      </w:r>
    </w:p>
    <w:p>
      <w:pPr>
        <w:rPr>
          <w:rFonts w:ascii="仿宋_GB2312" w:hAnsi="仿宋_GB2312" w:eastAsia="仿宋_GB2312" w:cs="仿宋_GB2312"/>
          <w:color w:val="auto"/>
          <w:highlight w:val="none"/>
        </w:rPr>
      </w:pPr>
    </w:p>
    <w:p>
      <w:pPr>
        <w:pStyle w:val="15"/>
        <w:widowControl w:val="0"/>
        <w:snapToGrid w:val="0"/>
        <w:spacing w:before="0" w:beforeAutospacing="0" w:after="0" w:afterAutospacing="0" w:line="480" w:lineRule="auto"/>
        <w:ind w:left="5880" w:hanging="5880" w:hangingChars="28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审查人签字： </w:t>
      </w:r>
    </w:p>
    <w:p>
      <w:pPr>
        <w:pStyle w:val="15"/>
        <w:widowControl w:val="0"/>
        <w:snapToGrid w:val="0"/>
        <w:spacing w:before="0" w:beforeAutospacing="0" w:after="0" w:afterAutospacing="0" w:line="480" w:lineRule="auto"/>
        <w:ind w:left="5880" w:hanging="5880" w:hangingChars="2800"/>
        <w:rPr>
          <w:rFonts w:ascii="仿宋_GB2312" w:hAnsi="仿宋_GB2312" w:eastAsia="仿宋_GB2312" w:cs="仿宋_GB2312"/>
          <w:b/>
          <w:color w:val="auto"/>
          <w:sz w:val="21"/>
          <w:szCs w:val="21"/>
          <w:highlight w:val="none"/>
        </w:rPr>
      </w:pPr>
      <w:r>
        <w:rPr>
          <w:rFonts w:hint="eastAsia" w:ascii="仿宋_GB2312" w:hAnsi="仿宋_GB2312" w:eastAsia="仿宋_GB2312" w:cs="仿宋_GB2312"/>
          <w:bCs/>
          <w:color w:val="auto"/>
          <w:sz w:val="21"/>
          <w:szCs w:val="21"/>
          <w:highlight w:val="none"/>
        </w:rPr>
        <w:t>日      期：</w:t>
      </w:r>
      <w:r>
        <w:rPr>
          <w:rFonts w:hint="eastAsia" w:ascii="仿宋_GB2312" w:hAnsi="仿宋_GB2312" w:eastAsia="仿宋_GB2312" w:cs="仿宋_GB2312"/>
          <w:b/>
          <w:color w:val="auto"/>
          <w:sz w:val="21"/>
          <w:szCs w:val="21"/>
          <w:highlight w:val="none"/>
        </w:rPr>
        <w:t xml:space="preserve"> </w:t>
      </w:r>
    </w:p>
    <w:p>
      <w:pPr>
        <w:pStyle w:val="5"/>
        <w:adjustRightInd w:val="0"/>
        <w:snapToGrid w:val="0"/>
        <w:spacing w:before="0" w:after="0" w:line="240" w:lineRule="auto"/>
        <w:jc w:val="left"/>
        <w:rPr>
          <w:rFonts w:ascii="仿宋_GB2312" w:hAnsi="仿宋_GB2312" w:eastAsia="仿宋_GB2312" w:cs="仿宋_GB2312"/>
          <w:color w:val="auto"/>
          <w:sz w:val="32"/>
          <w:szCs w:val="32"/>
          <w:highlight w:val="none"/>
        </w:rPr>
      </w:pPr>
      <w:bookmarkStart w:id="131" w:name="_Toc17433_WPSOffice_Level2"/>
      <w:r>
        <w:rPr>
          <w:rFonts w:hint="eastAsia" w:ascii="仿宋_GB2312" w:hAnsi="仿宋_GB2312" w:eastAsia="仿宋_GB2312" w:cs="仿宋_GB2312"/>
          <w:color w:val="auto"/>
          <w:szCs w:val="28"/>
          <w:highlight w:val="none"/>
        </w:rPr>
        <w:br w:type="page"/>
      </w:r>
      <w:r>
        <w:rPr>
          <w:rFonts w:hint="eastAsia" w:ascii="仿宋_GB2312" w:hAnsi="仿宋_GB2312" w:eastAsia="仿宋_GB2312" w:cs="仿宋_GB2312"/>
          <w:color w:val="auto"/>
          <w:szCs w:val="28"/>
          <w:highlight w:val="none"/>
        </w:rPr>
        <w:t xml:space="preserve">附件3                   </w:t>
      </w:r>
      <w:r>
        <w:rPr>
          <w:rFonts w:hint="eastAsia" w:ascii="仿宋_GB2312" w:hAnsi="仿宋_GB2312" w:eastAsia="仿宋_GB2312" w:cs="仿宋_GB2312"/>
          <w:color w:val="auto"/>
          <w:sz w:val="32"/>
          <w:szCs w:val="32"/>
          <w:highlight w:val="none"/>
        </w:rPr>
        <w:t xml:space="preserve"> </w:t>
      </w:r>
    </w:p>
    <w:p>
      <w:pPr>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评分细则</w:t>
      </w:r>
      <w:bookmarkEnd w:id="131"/>
    </w:p>
    <w:p>
      <w:pPr>
        <w:numPr>
          <w:ilvl w:val="0"/>
          <w:numId w:val="10"/>
        </w:numPr>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基本评分标准</w:t>
      </w:r>
    </w:p>
    <w:tbl>
      <w:tblPr>
        <w:tblStyle w:val="18"/>
        <w:tblpPr w:leftFromText="180" w:rightFromText="180" w:vertAnchor="text" w:horzAnchor="margin" w:tblpXSpec="center" w:tblpY="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288"/>
        <w:gridCol w:w="476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82"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包号</w:t>
            </w:r>
          </w:p>
        </w:tc>
        <w:tc>
          <w:tcPr>
            <w:tcW w:w="7048" w:type="dxa"/>
            <w:gridSpan w:val="3"/>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beforeAutospacing="0" w:after="0" w:afterAutospacing="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82"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项目</w:t>
            </w:r>
          </w:p>
        </w:tc>
        <w:tc>
          <w:tcPr>
            <w:tcW w:w="1288"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分项名称</w:t>
            </w:r>
          </w:p>
        </w:tc>
        <w:tc>
          <w:tcPr>
            <w:tcW w:w="4768"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评分标准</w:t>
            </w:r>
          </w:p>
        </w:tc>
        <w:tc>
          <w:tcPr>
            <w:tcW w:w="992"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82"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价格部分（</w:t>
            </w:r>
            <w:r>
              <w:rPr>
                <w:rFonts w:ascii="仿宋_GB2312" w:hAnsi="仿宋_GB2312" w:eastAsia="仿宋_GB2312" w:cs="仿宋_GB2312"/>
                <w:color w:val="auto"/>
                <w:kern w:val="2"/>
                <w:sz w:val="21"/>
                <w:szCs w:val="21"/>
                <w:highlight w:val="none"/>
              </w:rPr>
              <w:t>3</w:t>
            </w:r>
            <w:r>
              <w:rPr>
                <w:rFonts w:hint="eastAsia" w:ascii="仿宋_GB2312" w:hAnsi="仿宋_GB2312" w:eastAsia="仿宋_GB2312" w:cs="仿宋_GB2312"/>
                <w:color w:val="auto"/>
                <w:kern w:val="2"/>
                <w:sz w:val="21"/>
                <w:szCs w:val="21"/>
                <w:highlight w:val="none"/>
              </w:rPr>
              <w:t>0）</w:t>
            </w:r>
          </w:p>
        </w:tc>
        <w:tc>
          <w:tcPr>
            <w:tcW w:w="1288"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b/>
                <w:bCs/>
                <w:color w:val="auto"/>
                <w:kern w:val="2"/>
                <w:sz w:val="21"/>
                <w:szCs w:val="21"/>
                <w:highlight w:val="none"/>
              </w:rPr>
            </w:pPr>
            <w:r>
              <w:rPr>
                <w:rFonts w:hint="eastAsia" w:ascii="仿宋_GB2312" w:hAnsi="仿宋_GB2312" w:eastAsia="仿宋_GB2312" w:cs="仿宋_GB2312"/>
                <w:color w:val="auto"/>
                <w:kern w:val="2"/>
                <w:sz w:val="21"/>
                <w:szCs w:val="21"/>
                <w:highlight w:val="none"/>
              </w:rPr>
              <w:t>投标报价</w:t>
            </w:r>
          </w:p>
        </w:tc>
        <w:tc>
          <w:tcPr>
            <w:tcW w:w="476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1.评标基准价：满足招标文件全部实质性要求且投标价格最低的投标报价为评标基准价，评标基准价为满分</w:t>
            </w: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rPr>
              <w:t>0。</w:t>
            </w:r>
          </w:p>
          <w:p>
            <w:pPr>
              <w:adjustRightInd w:val="0"/>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2.其他合格投标人的投标报价得分按照下列公式计算：投标报价得分＝（评标基准价／投标报价）×</w:t>
            </w: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rPr>
              <w:t>0。得分保留至小数点后两位，第三位四舍五入。</w:t>
            </w:r>
          </w:p>
          <w:p>
            <w:pPr>
              <w:adjustRightInd w:val="0"/>
              <w:snapToGrid w:val="0"/>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3.因落实政府采购政策进行价格调整的，以调整后的价格计算评标基准价和投标报价。</w:t>
            </w:r>
          </w:p>
        </w:tc>
        <w:tc>
          <w:tcPr>
            <w:tcW w:w="992"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color w:val="auto"/>
                <w:kern w:val="2"/>
                <w:sz w:val="21"/>
                <w:szCs w:val="21"/>
                <w:highlight w:val="none"/>
              </w:rPr>
            </w:pPr>
            <w:r>
              <w:rPr>
                <w:rFonts w:ascii="仿宋_GB2312" w:hAnsi="仿宋_GB2312" w:eastAsia="仿宋_GB2312" w:cs="仿宋_GB2312"/>
                <w:color w:val="auto"/>
                <w:kern w:val="2"/>
                <w:sz w:val="21"/>
                <w:szCs w:val="21"/>
                <w:highlight w:val="none"/>
              </w:rPr>
              <w:t>3</w:t>
            </w:r>
            <w:r>
              <w:rPr>
                <w:rFonts w:hint="eastAsia" w:ascii="仿宋_GB2312" w:hAnsi="仿宋_GB2312" w:eastAsia="仿宋_GB2312" w:cs="仿宋_GB2312"/>
                <w:color w:val="auto"/>
                <w:kern w:val="2"/>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82" w:type="dxa"/>
            <w:tcBorders>
              <w:top w:val="single" w:color="auto" w:sz="4" w:space="0"/>
              <w:left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技术部分（</w:t>
            </w:r>
            <w:r>
              <w:rPr>
                <w:rFonts w:ascii="仿宋_GB2312" w:hAnsi="仿宋_GB2312" w:eastAsia="仿宋_GB2312" w:cs="仿宋_GB2312"/>
                <w:color w:val="auto"/>
                <w:kern w:val="2"/>
                <w:sz w:val="21"/>
                <w:szCs w:val="21"/>
                <w:highlight w:val="none"/>
              </w:rPr>
              <w:t>60</w:t>
            </w:r>
            <w:r>
              <w:rPr>
                <w:rFonts w:hint="eastAsia" w:ascii="仿宋_GB2312" w:hAnsi="仿宋_GB2312" w:eastAsia="仿宋_GB2312" w:cs="仿宋_GB2312"/>
                <w:color w:val="auto"/>
                <w:kern w:val="2"/>
                <w:sz w:val="21"/>
                <w:szCs w:val="21"/>
                <w:highlight w:val="none"/>
              </w:rPr>
              <w:t>）</w:t>
            </w:r>
          </w:p>
        </w:tc>
        <w:tc>
          <w:tcPr>
            <w:tcW w:w="12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技术指标</w:t>
            </w:r>
          </w:p>
        </w:tc>
        <w:tc>
          <w:tcPr>
            <w:tcW w:w="4768"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技术规格偏离表中：</w:t>
            </w:r>
          </w:p>
          <w:p>
            <w:pPr>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1.“★”号技术条款为重要指标，不得负偏离，如果负偏离，则投标文件无效；</w:t>
            </w:r>
          </w:p>
          <w:p>
            <w:pPr>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2.非“★”标项为普通技术指标，每满足一项得</w:t>
            </w:r>
            <w:r>
              <w:rPr>
                <w:rFonts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rPr>
              <w:t>分，最多得</w:t>
            </w:r>
            <w:r>
              <w:rPr>
                <w:rFonts w:ascii="仿宋_GB2312" w:hAnsi="仿宋_GB2312" w:eastAsia="仿宋_GB2312" w:cs="仿宋_GB2312"/>
                <w:color w:val="auto"/>
                <w:szCs w:val="21"/>
                <w:highlight w:val="none"/>
              </w:rPr>
              <w:t>6</w:t>
            </w:r>
            <w:r>
              <w:rPr>
                <w:rFonts w:hint="eastAsia" w:ascii="仿宋_GB2312" w:hAnsi="仿宋_GB2312" w:eastAsia="仿宋_GB2312" w:cs="仿宋_GB2312"/>
                <w:color w:val="auto"/>
                <w:szCs w:val="21"/>
                <w:highlight w:val="none"/>
              </w:rPr>
              <w:t>0分。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82" w:type="dxa"/>
            <w:vMerge w:val="restart"/>
            <w:tcBorders>
              <w:top w:val="single" w:color="auto" w:sz="4" w:space="0"/>
              <w:left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商务部分（1</w:t>
            </w:r>
            <w:r>
              <w:rPr>
                <w:rFonts w:ascii="仿宋_GB2312" w:hAnsi="仿宋_GB2312" w:eastAsia="仿宋_GB2312" w:cs="仿宋_GB2312"/>
                <w:color w:val="auto"/>
                <w:kern w:val="2"/>
                <w:sz w:val="21"/>
                <w:szCs w:val="21"/>
                <w:highlight w:val="none"/>
              </w:rPr>
              <w:t>0</w:t>
            </w:r>
            <w:r>
              <w:rPr>
                <w:rFonts w:hint="eastAsia" w:ascii="仿宋_GB2312" w:hAnsi="仿宋_GB2312" w:eastAsia="仿宋_GB2312" w:cs="仿宋_GB2312"/>
                <w:color w:val="auto"/>
                <w:kern w:val="2"/>
                <w:sz w:val="21"/>
                <w:szCs w:val="21"/>
                <w:highlight w:val="none"/>
              </w:rPr>
              <w:t>）</w:t>
            </w: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安装调试 方案</w:t>
            </w:r>
          </w:p>
        </w:tc>
        <w:tc>
          <w:tcPr>
            <w:tcW w:w="4768"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auto"/>
                <w:szCs w:val="21"/>
                <w:highlight w:val="none"/>
              </w:rPr>
            </w:pPr>
            <w:r>
              <w:rPr>
                <w:rFonts w:hint="eastAsia" w:ascii="仿宋_GB2312" w:eastAsia="仿宋_GB2312"/>
                <w:color w:val="auto"/>
                <w:szCs w:val="21"/>
                <w:highlight w:val="none"/>
              </w:rPr>
              <w:t xml:space="preserve">提供本项目的安装调试方案得 1 分，未提供不得分。安装调试方案内容细致全面得 </w:t>
            </w:r>
            <w:r>
              <w:rPr>
                <w:rFonts w:ascii="仿宋_GB2312" w:eastAsia="仿宋_GB2312"/>
                <w:color w:val="auto"/>
                <w:szCs w:val="21"/>
                <w:highlight w:val="none"/>
              </w:rPr>
              <w:t>1</w:t>
            </w:r>
            <w:r>
              <w:rPr>
                <w:rFonts w:hint="eastAsia" w:ascii="仿宋_GB2312" w:eastAsia="仿宋_GB2312"/>
                <w:color w:val="auto"/>
                <w:szCs w:val="21"/>
                <w:highlight w:val="none"/>
              </w:rPr>
              <w:t xml:space="preserve"> 分、科学合理得 </w:t>
            </w:r>
            <w:r>
              <w:rPr>
                <w:rFonts w:ascii="仿宋_GB2312" w:eastAsia="仿宋_GB2312"/>
                <w:color w:val="auto"/>
                <w:szCs w:val="21"/>
                <w:highlight w:val="none"/>
              </w:rPr>
              <w:t>1</w:t>
            </w:r>
            <w:r>
              <w:rPr>
                <w:rFonts w:hint="eastAsia" w:ascii="仿宋_GB2312" w:eastAsia="仿宋_GB2312"/>
                <w:color w:val="auto"/>
                <w:szCs w:val="21"/>
                <w:highlight w:val="none"/>
              </w:rPr>
              <w:t xml:space="preserve"> 分，否则不得分。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82" w:type="dxa"/>
            <w:vMerge w:val="continue"/>
            <w:tcBorders>
              <w:left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案例</w:t>
            </w:r>
          </w:p>
        </w:tc>
        <w:tc>
          <w:tcPr>
            <w:tcW w:w="4768"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投标人或制造厂商及区域代理商具有相同产品（同一品牌）业绩合同，每提供一个得1分，最多得2分。</w:t>
            </w:r>
            <w:r>
              <w:rPr>
                <w:rFonts w:hint="eastAsia" w:ascii="仿宋_GB2312" w:eastAsia="仿宋_GB2312"/>
                <w:color w:val="auto"/>
                <w:szCs w:val="21"/>
                <w:highlight w:val="none"/>
              </w:rPr>
              <w:t>（提供合同复印件）</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82" w:type="dxa"/>
            <w:vMerge w:val="continue"/>
            <w:tcBorders>
              <w:left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认证</w:t>
            </w:r>
          </w:p>
        </w:tc>
        <w:tc>
          <w:tcPr>
            <w:tcW w:w="4768"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auto"/>
                <w:szCs w:val="21"/>
                <w:highlight w:val="none"/>
              </w:rPr>
            </w:pPr>
            <w:r>
              <w:rPr>
                <w:rFonts w:hint="eastAsia" w:ascii="仿宋_GB2312" w:eastAsia="仿宋_GB2312"/>
                <w:color w:val="auto"/>
                <w:szCs w:val="21"/>
                <w:highlight w:val="none"/>
              </w:rPr>
              <w:t>制造商须具有产品质量</w:t>
            </w:r>
            <w:r>
              <w:rPr>
                <w:rFonts w:hint="eastAsia" w:ascii="仿宋_GB2312" w:eastAsia="仿宋_GB2312"/>
                <w:color w:val="auto"/>
                <w:szCs w:val="21"/>
                <w:highlight w:val="none"/>
                <w:lang w:eastAsia="zh-CN"/>
              </w:rPr>
              <w:t>安全</w:t>
            </w:r>
            <w:r>
              <w:rPr>
                <w:rFonts w:hint="eastAsia" w:ascii="仿宋_GB2312" w:eastAsia="仿宋_GB2312"/>
                <w:color w:val="auto"/>
                <w:szCs w:val="21"/>
                <w:highlight w:val="none"/>
              </w:rPr>
              <w:t>认证证书，如</w:t>
            </w:r>
            <w:r>
              <w:rPr>
                <w:rFonts w:ascii="仿宋_GB2312" w:eastAsia="仿宋_GB2312"/>
                <w:color w:val="auto"/>
                <w:szCs w:val="21"/>
                <w:highlight w:val="none"/>
              </w:rPr>
              <w:t>CE认证，或UL/FCC/FDA认证，或PSE认证，或ISO9001认证等，并附上证书复印件。</w:t>
            </w:r>
            <w:r>
              <w:rPr>
                <w:rFonts w:hint="eastAsia" w:ascii="仿宋_GB2312" w:eastAsia="仿宋_GB2312"/>
                <w:color w:val="auto"/>
                <w:szCs w:val="21"/>
                <w:highlight w:val="none"/>
              </w:rPr>
              <w:t>提供有效的证书复印件的，得</w:t>
            </w:r>
            <w:r>
              <w:rPr>
                <w:rFonts w:ascii="仿宋_GB2312" w:eastAsia="仿宋_GB2312"/>
                <w:color w:val="auto"/>
                <w:szCs w:val="21"/>
                <w:highlight w:val="none"/>
              </w:rPr>
              <w:t>2</w:t>
            </w:r>
            <w:r>
              <w:rPr>
                <w:rFonts w:hint="eastAsia" w:ascii="仿宋_GB2312" w:eastAsia="仿宋_GB2312"/>
                <w:color w:val="auto"/>
                <w:szCs w:val="21"/>
                <w:highlight w:val="none"/>
              </w:rPr>
              <w:t>分，否则不得分。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82" w:type="dxa"/>
            <w:vMerge w:val="continue"/>
            <w:tcBorders>
              <w:left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color w:val="auto"/>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售后服务方 案</w:t>
            </w:r>
          </w:p>
        </w:tc>
        <w:tc>
          <w:tcPr>
            <w:tcW w:w="4768"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auto"/>
                <w:szCs w:val="21"/>
                <w:highlight w:val="none"/>
              </w:rPr>
            </w:pPr>
            <w:r>
              <w:rPr>
                <w:rFonts w:hint="eastAsia" w:ascii="仿宋_GB2312" w:eastAsia="仿宋_GB2312"/>
                <w:color w:val="auto"/>
                <w:szCs w:val="21"/>
                <w:highlight w:val="none"/>
              </w:rPr>
              <w:t xml:space="preserve">提供本项目的售后服务方案（包括投标人在质保期的服务内容、技术支持及培训等）得 1 分，未提供不得分。售后服务方案细致全面得 </w:t>
            </w:r>
            <w:r>
              <w:rPr>
                <w:rFonts w:ascii="仿宋_GB2312" w:eastAsia="仿宋_GB2312"/>
                <w:color w:val="auto"/>
                <w:szCs w:val="21"/>
                <w:highlight w:val="none"/>
              </w:rPr>
              <w:t>1</w:t>
            </w:r>
            <w:r>
              <w:rPr>
                <w:rFonts w:hint="eastAsia" w:ascii="仿宋_GB2312" w:eastAsia="仿宋_GB2312"/>
                <w:color w:val="auto"/>
                <w:szCs w:val="21"/>
                <w:highlight w:val="none"/>
              </w:rPr>
              <w:t xml:space="preserve"> 分，科学合理得 </w:t>
            </w:r>
            <w:r>
              <w:rPr>
                <w:rFonts w:ascii="仿宋_GB2312" w:eastAsia="仿宋_GB2312"/>
                <w:color w:val="auto"/>
                <w:szCs w:val="21"/>
                <w:highlight w:val="none"/>
              </w:rPr>
              <w:t>1</w:t>
            </w:r>
            <w:r>
              <w:rPr>
                <w:rFonts w:hint="eastAsia" w:ascii="仿宋_GB2312" w:eastAsia="仿宋_GB2312"/>
                <w:color w:val="auto"/>
                <w:szCs w:val="21"/>
                <w:highlight w:val="none"/>
              </w:rPr>
              <w:t xml:space="preserve"> 分，否则不得分。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82"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合  计</w:t>
            </w:r>
          </w:p>
        </w:tc>
        <w:tc>
          <w:tcPr>
            <w:tcW w:w="1288"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p>
        </w:tc>
        <w:tc>
          <w:tcPr>
            <w:tcW w:w="4768"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color w:val="auto"/>
                <w:kern w:val="2"/>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before="0" w:beforeAutospacing="0" w:after="0" w:afterAutospacing="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100</w:t>
            </w:r>
          </w:p>
        </w:tc>
      </w:tr>
    </w:tbl>
    <w:p>
      <w:pPr>
        <w:widowControl/>
        <w:shd w:val="clear" w:color="auto" w:fill="FFFFFF"/>
        <w:spacing w:line="240" w:lineRule="exact"/>
        <w:jc w:val="left"/>
        <w:rPr>
          <w:rFonts w:ascii="仿宋_GB2312" w:hAnsi="仿宋_GB2312" w:eastAsia="仿宋_GB2312" w:cs="仿宋_GB2312"/>
          <w:color w:val="auto"/>
          <w:kern w:val="0"/>
          <w:szCs w:val="21"/>
          <w:highlight w:val="none"/>
        </w:rPr>
      </w:pPr>
    </w:p>
    <w:p>
      <w:pPr>
        <w:widowControl/>
        <w:shd w:val="clear" w:color="auto" w:fill="FFFFFF"/>
        <w:spacing w:line="240" w:lineRule="exact"/>
        <w:jc w:val="left"/>
        <w:rPr>
          <w:rFonts w:ascii="仿宋_GB2312" w:hAnsi="仿宋_GB2312" w:eastAsia="仿宋_GB2312" w:cs="仿宋_GB2312"/>
          <w:color w:val="auto"/>
          <w:kern w:val="0"/>
          <w:szCs w:val="21"/>
          <w:highlight w:val="none"/>
        </w:rPr>
      </w:pPr>
    </w:p>
    <w:p>
      <w:pPr>
        <w:numPr>
          <w:ilvl w:val="0"/>
          <w:numId w:val="11"/>
        </w:numP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加分项评分标准</w:t>
      </w:r>
    </w:p>
    <w:tbl>
      <w:tblPr>
        <w:tblStyle w:val="18"/>
        <w:tblW w:w="8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7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加分</w:t>
            </w:r>
          </w:p>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因素</w:t>
            </w:r>
          </w:p>
        </w:tc>
        <w:tc>
          <w:tcPr>
            <w:tcW w:w="75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加分说明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节能</w:t>
            </w:r>
          </w:p>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产品</w:t>
            </w:r>
          </w:p>
        </w:tc>
        <w:tc>
          <w:tcPr>
            <w:tcW w:w="7591"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对于清单中的投标产品价格给予价格部分总分值</w:t>
            </w:r>
            <w:r>
              <w:rPr>
                <w:rFonts w:hint="eastAsia" w:ascii="仿宋_GB2312" w:hAnsi="仿宋_GB2312" w:eastAsia="仿宋_GB2312" w:cs="仿宋_GB2312"/>
                <w:color w:val="auto"/>
                <w:kern w:val="0"/>
                <w:szCs w:val="21"/>
                <w:highlight w:val="none"/>
                <w:u w:val="single"/>
              </w:rPr>
              <w:t xml:space="preserve"> 3  </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szCs w:val="21"/>
                <w:highlight w:val="none"/>
              </w:rPr>
              <w:t>的加分，计算公式如下：</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节能产品加分＝（节能产品投标报价之和/投标总价）×价格部分总分值</w:t>
            </w:r>
            <w:r>
              <w:rPr>
                <w:rFonts w:hint="eastAsia" w:ascii="仿宋_GB2312" w:hAnsi="仿宋_GB2312" w:eastAsia="仿宋_GB2312" w:cs="仿宋_GB2312"/>
                <w:color w:val="auto"/>
                <w:szCs w:val="21"/>
                <w:highlight w:val="none"/>
                <w:u w:val="single"/>
              </w:rPr>
              <w:t xml:space="preserve"> 30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3 </w:t>
            </w:r>
            <w:r>
              <w:rPr>
                <w:rFonts w:hint="eastAsia" w:ascii="仿宋_GB2312" w:hAnsi="仿宋_GB2312" w:eastAsia="仿宋_GB2312" w:cs="仿宋_GB2312"/>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环保</w:t>
            </w:r>
          </w:p>
          <w:p>
            <w:pPr>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产品</w:t>
            </w:r>
          </w:p>
        </w:tc>
        <w:tc>
          <w:tcPr>
            <w:tcW w:w="7591"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对于清单中的投标产品价格给予价格部分总分值</w:t>
            </w:r>
            <w:r>
              <w:rPr>
                <w:rFonts w:hint="eastAsia" w:ascii="仿宋_GB2312" w:hAnsi="仿宋_GB2312" w:eastAsia="仿宋_GB2312" w:cs="仿宋_GB2312"/>
                <w:color w:val="auto"/>
                <w:szCs w:val="21"/>
                <w:highlight w:val="none"/>
                <w:u w:val="single"/>
              </w:rPr>
              <w:t xml:space="preserve"> 3 </w:t>
            </w:r>
            <w:r>
              <w:rPr>
                <w:rFonts w:hint="eastAsia" w:ascii="仿宋_GB2312" w:hAnsi="仿宋_GB2312" w:eastAsia="仿宋_GB2312" w:cs="仿宋_GB2312"/>
                <w:color w:val="auto"/>
                <w:szCs w:val="21"/>
                <w:highlight w:val="none"/>
              </w:rPr>
              <w:t>%的加分，计算公式如下：</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环保产品加分＝（环保产品投标报价之和/投标总价）×价格部分总分值</w:t>
            </w:r>
            <w:r>
              <w:rPr>
                <w:rFonts w:hint="eastAsia" w:ascii="仿宋_GB2312" w:hAnsi="仿宋_GB2312" w:eastAsia="仿宋_GB2312" w:cs="仿宋_GB2312"/>
                <w:color w:val="auto"/>
                <w:szCs w:val="21"/>
                <w:highlight w:val="none"/>
                <w:u w:val="single"/>
              </w:rPr>
              <w:t xml:space="preserve"> 30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3 </w:t>
            </w:r>
            <w:r>
              <w:rPr>
                <w:rFonts w:hint="eastAsia" w:ascii="仿宋_GB2312" w:hAnsi="仿宋_GB2312" w:eastAsia="仿宋_GB2312" w:cs="仿宋_GB2312"/>
                <w:color w:val="auto"/>
                <w:szCs w:val="21"/>
                <w:highlight w:val="none"/>
              </w:rPr>
              <w:t>%。</w:t>
            </w:r>
          </w:p>
        </w:tc>
      </w:tr>
    </w:tbl>
    <w:p>
      <w:pPr>
        <w:wordWrap w:val="0"/>
        <w:adjustRightInd w:val="0"/>
        <w:snapToGrid w:val="0"/>
        <w:spacing w:line="360" w:lineRule="auto"/>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br w:type="page"/>
      </w:r>
    </w:p>
    <w:p>
      <w:pPr>
        <w:rPr>
          <w:rFonts w:ascii="仿宋_GB2312" w:hAnsi="仿宋_GB2312" w:eastAsia="仿宋_GB2312" w:cs="仿宋_GB2312"/>
          <w:color w:val="auto"/>
          <w:highlight w:val="none"/>
        </w:rPr>
      </w:pPr>
      <w:bookmarkStart w:id="132" w:name="_Toc25922_WPSOffice_Level1"/>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pStyle w:val="4"/>
        <w:adjustRightInd w:val="0"/>
        <w:snapToGrid w:val="0"/>
        <w:spacing w:before="319" w:beforeLines="100" w:after="319" w:afterLines="100"/>
        <w:rPr>
          <w:rFonts w:ascii="仿宋_GB2312" w:hAnsi="仿宋_GB2312" w:eastAsia="仿宋_GB2312" w:cs="仿宋_GB2312"/>
          <w:color w:val="auto"/>
          <w:highlight w:val="none"/>
        </w:rPr>
      </w:pPr>
      <w:bookmarkStart w:id="133" w:name="_Toc19588"/>
    </w:p>
    <w:p>
      <w:pPr>
        <w:pStyle w:val="4"/>
        <w:adjustRightInd w:val="0"/>
        <w:snapToGrid w:val="0"/>
        <w:spacing w:before="319" w:beforeLines="100" w:after="319" w:afterLines="100"/>
        <w:rPr>
          <w:rFonts w:ascii="仿宋_GB2312" w:hAnsi="仿宋_GB2312" w:eastAsia="仿宋_GB2312" w:cs="仿宋_GB2312"/>
          <w:color w:val="auto"/>
          <w:highlight w:val="none"/>
        </w:rPr>
      </w:pPr>
    </w:p>
    <w:p>
      <w:pPr>
        <w:pStyle w:val="4"/>
        <w:adjustRightInd w:val="0"/>
        <w:snapToGrid w:val="0"/>
        <w:spacing w:before="319" w:beforeLines="100" w:after="319" w:afterLines="100"/>
        <w:rPr>
          <w:rFonts w:ascii="仿宋_GB2312" w:hAnsi="仿宋_GB2312" w:eastAsia="仿宋_GB2312" w:cs="仿宋_GB2312"/>
          <w:color w:val="auto"/>
          <w:highlight w:val="none"/>
        </w:rPr>
      </w:pPr>
    </w:p>
    <w:p>
      <w:pPr>
        <w:pStyle w:val="4"/>
        <w:adjustRightInd w:val="0"/>
        <w:snapToGrid w:val="0"/>
        <w:spacing w:before="319" w:beforeLines="100" w:after="319" w:afterLines="1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第五章 政府采购合同条款</w:t>
      </w:r>
      <w:bookmarkEnd w:id="132"/>
      <w:r>
        <w:rPr>
          <w:rFonts w:hint="eastAsia" w:ascii="仿宋_GB2312" w:hAnsi="仿宋_GB2312" w:eastAsia="仿宋_GB2312" w:cs="仿宋_GB2312"/>
          <w:color w:val="auto"/>
          <w:highlight w:val="none"/>
        </w:rPr>
        <w:t>及格式</w:t>
      </w:r>
      <w:bookmarkEnd w:id="133"/>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bookmarkStart w:id="134" w:name="_Toc23704_WPSOffice_Level1"/>
      <w:r>
        <w:rPr>
          <w:rFonts w:hint="eastAsia" w:ascii="仿宋_GB2312" w:hAnsi="仿宋_GB2312" w:eastAsia="仿宋_GB2312" w:cs="仿宋_GB2312"/>
          <w:color w:val="auto"/>
          <w:szCs w:val="28"/>
          <w:highlight w:val="none"/>
        </w:rPr>
        <w:br w:type="page"/>
      </w:r>
      <w:bookmarkEnd w:id="134"/>
      <w:r>
        <w:rPr>
          <w:rFonts w:hint="eastAsia" w:ascii="仿宋_GB2312" w:hAnsi="仿宋_GB2312" w:eastAsia="仿宋_GB2312" w:cs="仿宋_GB2312"/>
          <w:color w:val="auto"/>
          <w:szCs w:val="28"/>
          <w:highlight w:val="none"/>
        </w:rPr>
        <w:t>合同条款</w:t>
      </w:r>
    </w:p>
    <w:p>
      <w:pPr>
        <w:spacing w:before="319" w:beforeLines="100" w:after="319" w:afterLines="100" w:line="480" w:lineRule="exact"/>
        <w:jc w:val="center"/>
        <w:rPr>
          <w:rFonts w:ascii="仿宋_GB2312" w:hAnsi="仿宋_GB2312" w:eastAsia="仿宋_GB2312" w:cs="仿宋_GB2312"/>
          <w:b/>
          <w:color w:val="auto"/>
          <w:sz w:val="44"/>
          <w:szCs w:val="44"/>
          <w:highlight w:val="none"/>
        </w:rPr>
      </w:pPr>
      <w:bookmarkStart w:id="135" w:name="_Toc30224_WPSOffice_Level1"/>
      <w:r>
        <w:rPr>
          <w:rFonts w:hint="eastAsia" w:ascii="仿宋_GB2312" w:hAnsi="仿宋_GB2312" w:eastAsia="仿宋_GB2312" w:cs="仿宋_GB2312"/>
          <w:b/>
          <w:color w:val="auto"/>
          <w:sz w:val="44"/>
          <w:szCs w:val="44"/>
          <w:highlight w:val="none"/>
        </w:rPr>
        <w:t>政府采购合同条款</w:t>
      </w:r>
      <w:bookmarkEnd w:id="135"/>
    </w:p>
    <w:p>
      <w:pPr>
        <w:wordWrap w:val="0"/>
        <w:adjustRightInd w:val="0"/>
        <w:snapToGrid w:val="0"/>
        <w:spacing w:line="360" w:lineRule="auto"/>
        <w:jc w:val="right"/>
        <w:rPr>
          <w:rFonts w:ascii="仿宋_GB2312" w:hAnsi="仿宋_GB2312" w:eastAsia="仿宋_GB2312" w:cs="仿宋_GB2312"/>
          <w:color w:val="auto"/>
          <w:szCs w:val="21"/>
          <w:highlight w:val="none"/>
        </w:rPr>
      </w:pPr>
    </w:p>
    <w:p>
      <w:pPr>
        <w:adjustRightInd w:val="0"/>
        <w:snapToGrid w:val="0"/>
        <w:spacing w:line="360" w:lineRule="auto"/>
        <w:ind w:firstLine="411" w:firstLineChars="196"/>
        <w:rPr>
          <w:rFonts w:ascii="仿宋_GB2312" w:eastAsia="仿宋_GB2312"/>
          <w:b/>
          <w:bCs/>
          <w:color w:val="auto"/>
          <w:szCs w:val="21"/>
          <w:highlight w:val="none"/>
        </w:rPr>
      </w:pPr>
      <w:bookmarkStart w:id="136" w:name="_Toc398_WPSOffice_Level1"/>
      <w:bookmarkStart w:id="137" w:name="_Toc25596_WPSOffice_Level1"/>
      <w:bookmarkStart w:id="138" w:name="_Toc10117_WPSOffice_Level1"/>
      <w:r>
        <w:rPr>
          <w:rFonts w:hint="eastAsia" w:ascii="仿宋_GB2312" w:eastAsia="仿宋_GB2312"/>
          <w:b/>
          <w:bCs/>
          <w:color w:val="auto"/>
          <w:szCs w:val="21"/>
          <w:highlight w:val="none"/>
        </w:rPr>
        <w:t>1.术语定义</w:t>
      </w:r>
      <w:bookmarkEnd w:id="136"/>
      <w:bookmarkEnd w:id="137"/>
      <w:bookmarkEnd w:id="138"/>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本政府采购合同下列术语应解释为：</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1.1“政府采购合同”指供需双方依照政府采购程序、按照招标文件、投标文件确定的事项所达成的协议，包括附件、附录和上述文件所提到的构成政府采购合同的所有文件。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1.2“政府采购合同价”指根据合同约定供方在正确地完全履行政府采购合同义务后，需方应支付给供方的价格。</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政府采购合同货物”指政府采购合同货物清单（同投标文件中开标一览表及其附表，下同）中所约定的各种形态和种类的物品，包括原材料、燃料、设备、产品、硬件、软件、安装材料、备件及专用器具、文件资料等内容。</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1.4“服务”指根据政府采购合同约定供方应承担的与供货有关的伴随服务，包括（但不限于）政府采购合同货物的运输、保险、安装、测试、调试、培训、维修、提供技术指导和支持、保修期外的维护以及其它类似的义务。</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1.5“需方”指项目基本内容及要求中所述取得货物和服务的采购人。</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1.6“供方”指项目基本内容及要求中所述提供产品和服务的中标人。</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1.7“检验”指需方或者需方的最终用户收货后，按照本政府采购合同约定的标准对政府采购合同货物进行的检测与查验。</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1.8“验收书”指需方对供方履行政府采购合同情况及结果进行现场检验和评估意见的文件。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1.9“技术资料”指安装、调试、使用、维修政府采购合同货物所应具备的产品使用说明书和、或使用指南、操作手册、维修指南、服务手册、电路图、产品演示等文件及音像资料。</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1.10“保修期”指自验收书签署之日起，供方以自担费用方式保证政府采购合同货物正常运行的时期。</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1.11“第三人”是指本政府采购合同双方以外的任何中国境内外的自然人、法人或其它经济组织。</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1.12“法律、法规”是指由中国各级政府及有关部门制定的法律、行政法规、地方性法规、规章及其它规范性文件的有关规定。</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1.13“招标文件”指采购人或者采购代理机构发布的招标文件。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1.14“投标文件”指供方按照采购代理机构招标文件的要求编制和递交，并最终被评标委员会接受的投标文件。</w:t>
      </w:r>
    </w:p>
    <w:p>
      <w:pPr>
        <w:rPr>
          <w:color w:val="auto"/>
          <w:highlight w:val="none"/>
        </w:rPr>
      </w:pPr>
      <w:bookmarkStart w:id="139" w:name="_Toc22454_WPSOffice_Level1"/>
      <w:bookmarkStart w:id="140" w:name="_Toc750_WPSOffice_Level1"/>
      <w:bookmarkStart w:id="141" w:name="_Toc29737_WPSOffice_Level1"/>
      <w:r>
        <w:rPr>
          <w:rFonts w:hint="eastAsia"/>
          <w:color w:val="auto"/>
          <w:highlight w:val="none"/>
        </w:rPr>
        <w:t>2.技术指标</w:t>
      </w:r>
      <w:bookmarkEnd w:id="139"/>
      <w:bookmarkEnd w:id="140"/>
      <w:bookmarkEnd w:id="141"/>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2.1交付产品的技术指标应与招标文件规定的技术指标要求及投标文件中的“技术规格偏离表及商务条款偏离表”的承诺内容相一致。</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2.2 除技术指标另有规定外，计量单位应该使用公制。</w:t>
      </w:r>
    </w:p>
    <w:p>
      <w:pPr>
        <w:adjustRightInd w:val="0"/>
        <w:snapToGrid w:val="0"/>
        <w:spacing w:line="360" w:lineRule="auto"/>
        <w:ind w:firstLine="411" w:firstLineChars="196"/>
        <w:rPr>
          <w:rFonts w:ascii="仿宋_GB2312" w:eastAsia="仿宋_GB2312"/>
          <w:b/>
          <w:color w:val="auto"/>
          <w:szCs w:val="21"/>
          <w:highlight w:val="none"/>
        </w:rPr>
      </w:pPr>
      <w:bookmarkStart w:id="142" w:name="_Toc17648_WPSOffice_Level1"/>
      <w:bookmarkStart w:id="143" w:name="_Toc1538_WPSOffice_Level1"/>
      <w:bookmarkStart w:id="144" w:name="_Toc19640_WPSOffice_Level1"/>
      <w:r>
        <w:rPr>
          <w:rFonts w:hint="eastAsia" w:ascii="仿宋_GB2312" w:eastAsia="仿宋_GB2312"/>
          <w:b/>
          <w:color w:val="auto"/>
          <w:szCs w:val="21"/>
          <w:highlight w:val="none"/>
        </w:rPr>
        <w:t>3.交货</w:t>
      </w:r>
      <w:bookmarkEnd w:id="142"/>
      <w:bookmarkEnd w:id="143"/>
      <w:bookmarkEnd w:id="144"/>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3.1供方按照合同约定的时间、地点交货</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3.2供方交货的同时应提交下列文件：销售发票，制造厂商出具的质量检验证书、产品合格证以及招标文件、投标文件确定供方应随货物同时提供的其他资料。</w:t>
      </w:r>
    </w:p>
    <w:p>
      <w:pPr>
        <w:adjustRightInd w:val="0"/>
        <w:snapToGrid w:val="0"/>
        <w:spacing w:line="360" w:lineRule="auto"/>
        <w:ind w:firstLine="411" w:firstLineChars="196"/>
        <w:rPr>
          <w:rFonts w:ascii="仿宋_GB2312" w:eastAsia="仿宋_GB2312"/>
          <w:b/>
          <w:color w:val="auto"/>
          <w:szCs w:val="21"/>
          <w:highlight w:val="none"/>
        </w:rPr>
      </w:pPr>
      <w:bookmarkStart w:id="145" w:name="_Toc11745_WPSOffice_Level1"/>
      <w:bookmarkStart w:id="146" w:name="_Toc15048_WPSOffice_Level1"/>
      <w:bookmarkStart w:id="147" w:name="_Toc1266_WPSOffice_Level1"/>
      <w:r>
        <w:rPr>
          <w:rFonts w:hint="eastAsia" w:ascii="仿宋_GB2312" w:eastAsia="仿宋_GB2312"/>
          <w:b/>
          <w:color w:val="auto"/>
          <w:szCs w:val="21"/>
          <w:highlight w:val="none"/>
        </w:rPr>
        <w:t>4.合同金额</w:t>
      </w:r>
      <w:bookmarkEnd w:id="145"/>
      <w:bookmarkEnd w:id="146"/>
      <w:bookmarkEnd w:id="147"/>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color w:val="auto"/>
          <w:szCs w:val="21"/>
          <w:highlight w:val="none"/>
        </w:rPr>
        <w:t>根据政府采购合同文件要求，确定政府采购合同的总金额。</w:t>
      </w:r>
    </w:p>
    <w:p>
      <w:pPr>
        <w:adjustRightInd w:val="0"/>
        <w:snapToGrid w:val="0"/>
        <w:spacing w:line="360" w:lineRule="auto"/>
        <w:ind w:firstLine="411" w:firstLineChars="196"/>
        <w:rPr>
          <w:rFonts w:ascii="仿宋_GB2312" w:eastAsia="仿宋_GB2312"/>
          <w:b/>
          <w:color w:val="auto"/>
          <w:szCs w:val="21"/>
          <w:highlight w:val="none"/>
        </w:rPr>
      </w:pPr>
      <w:bookmarkStart w:id="148" w:name="_Toc22359_WPSOffice_Level1"/>
      <w:bookmarkStart w:id="149" w:name="_Toc11969_WPSOffice_Level1"/>
      <w:bookmarkStart w:id="150" w:name="_Toc941_WPSOffice_Level1"/>
      <w:r>
        <w:rPr>
          <w:rFonts w:hint="eastAsia" w:ascii="仿宋_GB2312" w:eastAsia="仿宋_GB2312"/>
          <w:b/>
          <w:color w:val="auto"/>
          <w:szCs w:val="21"/>
          <w:highlight w:val="none"/>
        </w:rPr>
        <w:t>5.付款</w:t>
      </w:r>
      <w:bookmarkEnd w:id="148"/>
      <w:bookmarkEnd w:id="149"/>
      <w:bookmarkEnd w:id="150"/>
    </w:p>
    <w:p>
      <w:pPr>
        <w:adjustRightInd w:val="0"/>
        <w:snapToGrid w:val="0"/>
        <w:spacing w:line="360" w:lineRule="auto"/>
        <w:ind w:firstLine="411" w:firstLineChars="196"/>
        <w:rPr>
          <w:rFonts w:ascii="仿宋_GB2312" w:eastAsia="仿宋_GB2312"/>
          <w:color w:val="auto"/>
          <w:szCs w:val="21"/>
          <w:highlight w:val="none"/>
          <w:u w:val="single"/>
        </w:rPr>
      </w:pPr>
      <w:bookmarkStart w:id="151" w:name="_Toc22351_WPSOffice_Level2"/>
      <w:r>
        <w:rPr>
          <w:rFonts w:hint="eastAsia" w:ascii="仿宋_GB2312" w:eastAsia="仿宋_GB2312"/>
          <w:color w:val="auto"/>
          <w:szCs w:val="21"/>
          <w:highlight w:val="none"/>
        </w:rPr>
        <w:t>5.1付款方式、条件：需方按照合同约定的方式和条件付款。</w:t>
      </w:r>
      <w:bookmarkEnd w:id="151"/>
    </w:p>
    <w:p>
      <w:pPr>
        <w:adjustRightInd w:val="0"/>
        <w:snapToGrid w:val="0"/>
        <w:spacing w:line="360" w:lineRule="auto"/>
        <w:ind w:firstLine="411" w:firstLineChars="196"/>
        <w:rPr>
          <w:rFonts w:ascii="仿宋_GB2312" w:eastAsia="仿宋_GB2312"/>
          <w:b/>
          <w:color w:val="auto"/>
          <w:szCs w:val="21"/>
          <w:highlight w:val="none"/>
        </w:rPr>
      </w:pPr>
      <w:bookmarkStart w:id="152" w:name="_Toc10526_WPSOffice_Level1"/>
      <w:bookmarkStart w:id="153" w:name="_Toc27769_WPSOffice_Level1"/>
      <w:bookmarkStart w:id="154" w:name="_Toc30478_WPSOffice_Level1"/>
      <w:r>
        <w:rPr>
          <w:rFonts w:hint="eastAsia" w:ascii="仿宋_GB2312" w:eastAsia="仿宋_GB2312"/>
          <w:b/>
          <w:color w:val="auto"/>
          <w:szCs w:val="21"/>
          <w:highlight w:val="none"/>
        </w:rPr>
        <w:t>6.验收</w:t>
      </w:r>
      <w:bookmarkEnd w:id="152"/>
      <w:bookmarkEnd w:id="153"/>
      <w:bookmarkEnd w:id="154"/>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6.1供方提交的货物由需方或者需方的最终用户负责验收。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6.2需方或者需方的最终用户应当按照采购合同规定的技术、服务等要求组织对供应商履约的验收，并出具验收书。验收书应当包括每一项技术、服务等要求的履约情况。</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6.3大型或者复杂的项目，应当邀请国家认可的质量检测机构参加验收。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6.4政府向社会公众提供的公共服务项目，验收时应当邀请服务对象参与并出具意见，验收结果应当向社会公告。</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6.6货物保修期自验收书签署之日起计算。</w:t>
      </w:r>
    </w:p>
    <w:p>
      <w:pPr>
        <w:adjustRightInd w:val="0"/>
        <w:snapToGrid w:val="0"/>
        <w:spacing w:line="360" w:lineRule="auto"/>
        <w:ind w:firstLine="411" w:firstLineChars="196"/>
        <w:rPr>
          <w:rFonts w:ascii="仿宋_GB2312" w:eastAsia="仿宋_GB2312"/>
          <w:b/>
          <w:color w:val="auto"/>
          <w:szCs w:val="21"/>
          <w:highlight w:val="none"/>
        </w:rPr>
      </w:pPr>
      <w:bookmarkStart w:id="155" w:name="_Toc21868_WPSOffice_Level1"/>
      <w:bookmarkStart w:id="156" w:name="_Toc23127_WPSOffice_Level1"/>
      <w:bookmarkStart w:id="157" w:name="_Toc31292_WPSOffice_Level1"/>
      <w:r>
        <w:rPr>
          <w:rFonts w:hint="eastAsia" w:ascii="仿宋_GB2312" w:eastAsia="仿宋_GB2312"/>
          <w:b/>
          <w:color w:val="auto"/>
          <w:szCs w:val="21"/>
          <w:highlight w:val="none"/>
        </w:rPr>
        <w:t>7.知识产权及有关规定</w:t>
      </w:r>
      <w:bookmarkEnd w:id="155"/>
      <w:bookmarkEnd w:id="156"/>
      <w:bookmarkEnd w:id="157"/>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7.2一方对另一方提供的技术资料、样件、图纸及其他与质量、技术、经营相关信息（包括但不限于价格、数量）有保密义务。双方应确保其人员及相关协作方承担保密义务。</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7.4本合同中涉及保密和知识产权任何条款，在合同期限内及合同终止后持续有效。</w:t>
      </w:r>
    </w:p>
    <w:p>
      <w:pPr>
        <w:adjustRightInd w:val="0"/>
        <w:snapToGrid w:val="0"/>
        <w:spacing w:line="360" w:lineRule="auto"/>
        <w:ind w:firstLine="411" w:firstLineChars="196"/>
        <w:rPr>
          <w:rFonts w:ascii="仿宋_GB2312" w:eastAsia="仿宋_GB2312"/>
          <w:b/>
          <w:color w:val="auto"/>
          <w:szCs w:val="21"/>
          <w:highlight w:val="none"/>
        </w:rPr>
      </w:pPr>
      <w:bookmarkStart w:id="158" w:name="_Toc24765_WPSOffice_Level1"/>
      <w:bookmarkStart w:id="159" w:name="_Toc26796_WPSOffice_Level1"/>
      <w:bookmarkStart w:id="160" w:name="_Toc21090_WPSOffice_Level1"/>
      <w:r>
        <w:rPr>
          <w:rFonts w:hint="eastAsia" w:ascii="仿宋_GB2312" w:eastAsia="仿宋_GB2312"/>
          <w:b/>
          <w:color w:val="auto"/>
          <w:szCs w:val="21"/>
          <w:highlight w:val="none"/>
        </w:rPr>
        <w:t>8.包装要求</w:t>
      </w:r>
      <w:bookmarkEnd w:id="158"/>
      <w:bookmarkEnd w:id="159"/>
      <w:bookmarkEnd w:id="160"/>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8.2每一个包装箱内应附一份详细的装箱单和质量合格证书。</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8.3包装费由供方承担，包装物不回收。</w:t>
      </w:r>
    </w:p>
    <w:p>
      <w:pPr>
        <w:adjustRightInd w:val="0"/>
        <w:snapToGrid w:val="0"/>
        <w:spacing w:line="360" w:lineRule="auto"/>
        <w:ind w:firstLine="411" w:firstLineChars="196"/>
        <w:rPr>
          <w:rFonts w:ascii="仿宋_GB2312" w:eastAsia="仿宋_GB2312"/>
          <w:b/>
          <w:color w:val="auto"/>
          <w:szCs w:val="21"/>
          <w:highlight w:val="none"/>
        </w:rPr>
      </w:pPr>
      <w:bookmarkStart w:id="161" w:name="_Toc26447_WPSOffice_Level1"/>
      <w:bookmarkStart w:id="162" w:name="_Toc2304_WPSOffice_Level1"/>
      <w:bookmarkStart w:id="163" w:name="_Toc1308_WPSOffice_Level1"/>
      <w:r>
        <w:rPr>
          <w:rFonts w:hint="eastAsia" w:ascii="仿宋_GB2312" w:eastAsia="仿宋_GB2312"/>
          <w:b/>
          <w:color w:val="auto"/>
          <w:szCs w:val="21"/>
          <w:highlight w:val="none"/>
        </w:rPr>
        <w:t>9.伴随服务</w:t>
      </w:r>
      <w:bookmarkEnd w:id="161"/>
      <w:bookmarkEnd w:id="162"/>
      <w:bookmarkEnd w:id="163"/>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9.1供方应提供所交付货物的全套技术文件资料，包括产品目录、图纸、操作手册、使用说明、维护手册和服务指南等。</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9.2供方还应提供下列服务：</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9.2.1货物的现场安装、启动和试运行；</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9.2.2提供货物组装和维修所需的工具；</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9.2.3在质量保证期内对所交付货物提供运行监督、维修、保养等,如果招标文件没有特别要求，以供方在投标文件中提交的售后服务承诺书为准。如果上述文件规定有不一致之处，以对需方有利的为准。</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9.2.4在制造厂家或在项目现场就货物的安装、启动、运行、维护等对需方人员进行培训，直至需方人员掌握全部上述技能为止。</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9.3伴随服务的费用应含在合同价中，不单独进行支付。</w:t>
      </w:r>
    </w:p>
    <w:p>
      <w:pPr>
        <w:adjustRightInd w:val="0"/>
        <w:snapToGrid w:val="0"/>
        <w:spacing w:line="360" w:lineRule="auto"/>
        <w:ind w:firstLine="411" w:firstLineChars="196"/>
        <w:rPr>
          <w:rFonts w:ascii="仿宋_GB2312" w:eastAsia="仿宋_GB2312"/>
          <w:b/>
          <w:color w:val="auto"/>
          <w:szCs w:val="21"/>
          <w:highlight w:val="none"/>
        </w:rPr>
      </w:pPr>
      <w:bookmarkStart w:id="164" w:name="_Toc7636_WPSOffice_Level1"/>
      <w:bookmarkStart w:id="165" w:name="_Toc14320_WPSOffice_Level1"/>
      <w:bookmarkStart w:id="166" w:name="_Toc8205_WPSOffice_Level1"/>
      <w:r>
        <w:rPr>
          <w:rFonts w:hint="eastAsia" w:ascii="仿宋_GB2312" w:eastAsia="仿宋_GB2312"/>
          <w:b/>
          <w:color w:val="auto"/>
          <w:szCs w:val="21"/>
          <w:highlight w:val="none"/>
        </w:rPr>
        <w:t>10.质量保证期</w:t>
      </w:r>
      <w:bookmarkEnd w:id="164"/>
      <w:bookmarkEnd w:id="165"/>
      <w:bookmarkEnd w:id="166"/>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10.1以招标文件中的规定为准，如果投标文件中的承诺优于招标文件规定，则以投标文件为准。</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10.2如果招标文件没有特别要求，以供方在投标文件中提交的制造厂商的有关文件为准。如果上述文件规定有不一致之处，以对需方有利的为准。</w:t>
      </w:r>
    </w:p>
    <w:p>
      <w:pPr>
        <w:adjustRightInd w:val="0"/>
        <w:snapToGrid w:val="0"/>
        <w:spacing w:line="360" w:lineRule="auto"/>
        <w:ind w:firstLine="411" w:firstLineChars="196"/>
        <w:rPr>
          <w:rFonts w:ascii="仿宋_GB2312" w:eastAsia="仿宋_GB2312"/>
          <w:b/>
          <w:color w:val="auto"/>
          <w:szCs w:val="21"/>
          <w:highlight w:val="none"/>
        </w:rPr>
      </w:pPr>
      <w:bookmarkStart w:id="167" w:name="_Toc16220_WPSOffice_Level1"/>
      <w:bookmarkStart w:id="168" w:name="_Toc18427_WPSOffice_Level1"/>
      <w:bookmarkStart w:id="169" w:name="_Toc13950_WPSOffice_Level1"/>
      <w:r>
        <w:rPr>
          <w:rFonts w:hint="eastAsia" w:ascii="仿宋_GB2312" w:eastAsia="仿宋_GB2312"/>
          <w:b/>
          <w:color w:val="auto"/>
          <w:szCs w:val="21"/>
          <w:highlight w:val="none"/>
        </w:rPr>
        <w:t>11.质量保证</w:t>
      </w:r>
      <w:bookmarkEnd w:id="167"/>
      <w:bookmarkEnd w:id="168"/>
      <w:bookmarkEnd w:id="169"/>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11.3如果供方在接到需方通知后，在本政府采购合同约定的响应时间内没有弥补缺陷，需方可采取必要的补救措施，但其风险和费用将由供方负担，并且需方根据合同规定对供方行使的其它权利不受影响。</w:t>
      </w:r>
    </w:p>
    <w:p>
      <w:pPr>
        <w:adjustRightInd w:val="0"/>
        <w:snapToGrid w:val="0"/>
        <w:spacing w:line="360" w:lineRule="auto"/>
        <w:ind w:firstLine="411" w:firstLineChars="196"/>
        <w:rPr>
          <w:rFonts w:ascii="仿宋_GB2312" w:eastAsia="仿宋_GB2312"/>
          <w:b/>
          <w:color w:val="auto"/>
          <w:szCs w:val="21"/>
          <w:highlight w:val="none"/>
        </w:rPr>
      </w:pPr>
      <w:bookmarkStart w:id="170" w:name="_Toc29469_WPSOffice_Level1"/>
      <w:bookmarkStart w:id="171" w:name="_Toc9090_WPSOffice_Level1"/>
      <w:bookmarkStart w:id="172" w:name="_Toc24667_WPSOffice_Level1"/>
      <w:r>
        <w:rPr>
          <w:rFonts w:hint="eastAsia" w:ascii="仿宋_GB2312" w:eastAsia="仿宋_GB2312"/>
          <w:b/>
          <w:color w:val="auto"/>
          <w:szCs w:val="21"/>
          <w:highlight w:val="none"/>
        </w:rPr>
        <w:t>12.技术服务和保修责任</w:t>
      </w:r>
      <w:bookmarkEnd w:id="170"/>
      <w:bookmarkEnd w:id="171"/>
      <w:bookmarkEnd w:id="172"/>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12.1供方对政府采购合同货物的保修期，以招标文件中的规定为准，如果投标文件中的承诺优于招标文件规定，则以投标文件为准。</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12.2供方应按如下内容提供售后服务：</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12.2.1产品经过试运行期，所有性能指标达到技术规范书的要求时，可按招标文件、投标文件内容进行初验。在试运行期间，由于产品质量等造成某些指标达不到要求，供方须更换或进行修复，试运行期重新计算。</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12.2.3保修期间供方要保修除消耗品以外的所有产品。如果系统、设备等发生故障，供方要调查故障原因并修复直至满足最终验收指标和性能的要求，或者修理、更换整个或部分有缺陷的材料。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12.2.4保修期内，供方提供电话、电子邮件、Web、现场服务等方式的技术支持，对用户的现场服务要求，供方必须按投标文件做出的承诺进行响应。</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12.2.5保修期内，供方应对出现故障无法修复的产品或无法正常运行的系统，提供替代产品以保证系统的正常工作。</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12.2.6保修期内，供方应投标时的承诺提供相关服务。</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11" w:firstLineChars="196"/>
        <w:rPr>
          <w:rFonts w:ascii="仿宋_GB2312" w:eastAsia="仿宋_GB2312"/>
          <w:b/>
          <w:color w:val="auto"/>
          <w:szCs w:val="21"/>
          <w:highlight w:val="none"/>
        </w:rPr>
      </w:pPr>
      <w:bookmarkStart w:id="173" w:name="_Toc16924_WPSOffice_Level1"/>
      <w:bookmarkStart w:id="174" w:name="_Toc8548_WPSOffice_Level1"/>
      <w:bookmarkStart w:id="175" w:name="_Toc11781_WPSOffice_Level1"/>
      <w:r>
        <w:rPr>
          <w:rFonts w:hint="eastAsia" w:ascii="仿宋_GB2312" w:eastAsia="仿宋_GB2312"/>
          <w:b/>
          <w:color w:val="auto"/>
          <w:szCs w:val="21"/>
          <w:highlight w:val="none"/>
        </w:rPr>
        <w:t>13.违约责任</w:t>
      </w:r>
      <w:bookmarkEnd w:id="173"/>
      <w:bookmarkEnd w:id="174"/>
      <w:bookmarkEnd w:id="175"/>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13.1.1在需方同意延长的期限内交付全部货物、提供服务并承担由此给需方造成的一切损失；</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13.1.3根据货物低劣程度、损坏程度以及使需方所遭受的损失，经双方商定降低货物的价格或赔偿需方所遭受的损失；</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13.1.5需方有权部分或全部解除政府采购合同并要求供方赔偿由此造成的损失。此时需方可采取必要的补救措施，相关费用由供方承担。</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13.3延期交货的违约责任</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13.3.2如供方在政府采购合同规定的交货日期后10天内仍未能交货，则视为供方不能交货，需方有权解除政府采购合同，供方除退还已收取的货款外，还应向需方偿付政府采购合同总金额10%的违约金。</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13.4以上各项交付的违约金并不影响违约方履行政府采购合同的各项义务。</w:t>
      </w:r>
    </w:p>
    <w:p>
      <w:pPr>
        <w:adjustRightInd w:val="0"/>
        <w:snapToGrid w:val="0"/>
        <w:spacing w:line="360" w:lineRule="auto"/>
        <w:ind w:firstLine="411" w:firstLineChars="196"/>
        <w:rPr>
          <w:rFonts w:ascii="仿宋_GB2312" w:eastAsia="仿宋_GB2312"/>
          <w:b/>
          <w:color w:val="auto"/>
          <w:szCs w:val="21"/>
          <w:highlight w:val="none"/>
        </w:rPr>
      </w:pPr>
      <w:bookmarkStart w:id="176" w:name="_Toc28610_WPSOffice_Level1"/>
      <w:bookmarkStart w:id="177" w:name="_Toc32310_WPSOffice_Level1"/>
      <w:bookmarkStart w:id="178" w:name="_Toc21833_WPSOffice_Level1"/>
      <w:r>
        <w:rPr>
          <w:rFonts w:hint="eastAsia" w:ascii="仿宋_GB2312" w:eastAsia="仿宋_GB2312"/>
          <w:b/>
          <w:color w:val="auto"/>
          <w:szCs w:val="21"/>
          <w:highlight w:val="none"/>
        </w:rPr>
        <w:t>14.不可抗力</w:t>
      </w:r>
      <w:bookmarkEnd w:id="176"/>
      <w:bookmarkEnd w:id="177"/>
      <w:bookmarkEnd w:id="178"/>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14.2本条所述的“不可抗力”系指那些双方无法控制，不可预见的事件，但不包括双方的违约或疏忽。这些事件包括但不限于：战争、严重火灾、洪水、台风、地震。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11" w:firstLineChars="196"/>
        <w:rPr>
          <w:rFonts w:ascii="仿宋_GB2312" w:eastAsia="仿宋_GB2312"/>
          <w:b/>
          <w:color w:val="auto"/>
          <w:szCs w:val="21"/>
          <w:highlight w:val="none"/>
        </w:rPr>
      </w:pPr>
      <w:bookmarkStart w:id="179" w:name="_Toc13390_WPSOffice_Level1"/>
      <w:bookmarkStart w:id="180" w:name="_Toc12037_WPSOffice_Level1"/>
      <w:bookmarkStart w:id="181" w:name="_Toc3262_WPSOffice_Level1"/>
      <w:r>
        <w:rPr>
          <w:rFonts w:hint="eastAsia" w:ascii="仿宋_GB2312" w:eastAsia="仿宋_GB2312"/>
          <w:b/>
          <w:color w:val="auto"/>
          <w:szCs w:val="21"/>
          <w:highlight w:val="none"/>
        </w:rPr>
        <w:t>15.争端的解决</w:t>
      </w:r>
      <w:bookmarkEnd w:id="179"/>
      <w:bookmarkEnd w:id="180"/>
      <w:bookmarkEnd w:id="181"/>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15.1政府采购合同的履行、违约责任和解决争议的方法等适用《</w:t>
      </w:r>
      <w:r>
        <w:rPr>
          <w:rFonts w:hint="eastAsia" w:ascii="仿宋_GB2312" w:eastAsia="仿宋_GB2312"/>
          <w:color w:val="auto"/>
          <w:szCs w:val="21"/>
          <w:highlight w:val="none"/>
          <w:lang w:eastAsia="zh-CN"/>
        </w:rPr>
        <w:t>中华人民共和国民法典</w:t>
      </w:r>
      <w:r>
        <w:rPr>
          <w:rFonts w:hint="eastAsia" w:ascii="仿宋_GB2312" w:eastAsia="仿宋_GB2312"/>
          <w:color w:val="auto"/>
          <w:szCs w:val="21"/>
          <w:highlight w:val="none"/>
        </w:rPr>
        <w:t>》。</w:t>
      </w:r>
    </w:p>
    <w:p>
      <w:pPr>
        <w:adjustRightInd w:val="0"/>
        <w:snapToGrid w:val="0"/>
        <w:spacing w:line="360" w:lineRule="auto"/>
        <w:ind w:firstLine="411" w:firstLineChars="196"/>
        <w:rPr>
          <w:rFonts w:ascii="仿宋_GB2312" w:eastAsia="仿宋_GB2312"/>
          <w:color w:val="auto"/>
          <w:szCs w:val="21"/>
          <w:highlight w:val="none"/>
        </w:rPr>
      </w:pPr>
      <w:r>
        <w:rPr>
          <w:rFonts w:ascii="仿宋_GB2312" w:eastAsia="仿宋_GB2312"/>
          <w:color w:val="auto"/>
          <w:szCs w:val="21"/>
          <w:highlight w:val="none"/>
        </w:rPr>
        <w:t>1</w:t>
      </w:r>
      <w:r>
        <w:rPr>
          <w:rFonts w:hint="eastAsia" w:ascii="仿宋_GB2312" w:eastAsia="仿宋_GB2312"/>
          <w:color w:val="auto"/>
          <w:szCs w:val="21"/>
          <w:highlight w:val="none"/>
        </w:rPr>
        <w:t>5</w:t>
      </w:r>
      <w:r>
        <w:rPr>
          <w:rFonts w:ascii="仿宋_GB2312" w:eastAsia="仿宋_GB2312"/>
          <w:color w:val="auto"/>
          <w:szCs w:val="21"/>
          <w:highlight w:val="none"/>
        </w:rPr>
        <w:t>.2</w:t>
      </w:r>
      <w:r>
        <w:rPr>
          <w:rFonts w:hint="eastAsia" w:ascii="仿宋_GB2312" w:eastAsia="仿宋_GB2312"/>
          <w:color w:val="auto"/>
          <w:szCs w:val="21"/>
          <w:highlight w:val="none"/>
        </w:rPr>
        <w:t>需方和供方应通过友好协商，解决在执行本政府采购合同过程中所发生的或与本政府采购合同有关的一切争端。</w:t>
      </w:r>
    </w:p>
    <w:p>
      <w:pPr>
        <w:adjustRightInd w:val="0"/>
        <w:snapToGrid w:val="0"/>
        <w:spacing w:line="360" w:lineRule="auto"/>
        <w:ind w:firstLine="411" w:firstLineChars="196"/>
        <w:rPr>
          <w:rFonts w:ascii="仿宋_GB2312" w:eastAsia="仿宋_GB2312"/>
          <w:color w:val="auto"/>
          <w:szCs w:val="21"/>
          <w:highlight w:val="none"/>
        </w:rPr>
      </w:pPr>
      <w:r>
        <w:rPr>
          <w:rFonts w:ascii="仿宋_GB2312" w:eastAsia="仿宋_GB2312"/>
          <w:color w:val="auto"/>
          <w:szCs w:val="21"/>
          <w:highlight w:val="none"/>
        </w:rPr>
        <w:t>1</w:t>
      </w:r>
      <w:r>
        <w:rPr>
          <w:rFonts w:hint="eastAsia" w:ascii="仿宋_GB2312" w:eastAsia="仿宋_GB2312"/>
          <w:color w:val="auto"/>
          <w:szCs w:val="21"/>
          <w:highlight w:val="none"/>
        </w:rPr>
        <w:t>5</w:t>
      </w:r>
      <w:r>
        <w:rPr>
          <w:rFonts w:ascii="仿宋_GB2312" w:eastAsia="仿宋_GB2312"/>
          <w:color w:val="auto"/>
          <w:szCs w:val="21"/>
          <w:highlight w:val="none"/>
        </w:rPr>
        <w:t>.3</w:t>
      </w:r>
      <w:r>
        <w:rPr>
          <w:rFonts w:hint="eastAsia" w:ascii="仿宋_GB2312" w:eastAsia="仿宋_GB2312"/>
          <w:color w:val="auto"/>
          <w:szCs w:val="21"/>
          <w:highlight w:val="none"/>
        </w:rPr>
        <w:t>如果协商不成，双方中的任何一方可向需方所在地的人民法院提起诉讼。</w:t>
      </w:r>
    </w:p>
    <w:p>
      <w:pPr>
        <w:adjustRightInd w:val="0"/>
        <w:snapToGrid w:val="0"/>
        <w:spacing w:line="360" w:lineRule="auto"/>
        <w:ind w:firstLine="411" w:firstLineChars="196"/>
        <w:rPr>
          <w:rFonts w:ascii="仿宋_GB2312" w:eastAsia="仿宋_GB2312"/>
          <w:color w:val="auto"/>
          <w:szCs w:val="21"/>
          <w:highlight w:val="none"/>
        </w:rPr>
      </w:pPr>
      <w:r>
        <w:rPr>
          <w:rFonts w:ascii="仿宋_GB2312" w:eastAsia="仿宋_GB2312"/>
          <w:color w:val="auto"/>
          <w:szCs w:val="21"/>
          <w:highlight w:val="none"/>
        </w:rPr>
        <w:t>1</w:t>
      </w:r>
      <w:r>
        <w:rPr>
          <w:rFonts w:hint="eastAsia" w:ascii="仿宋_GB2312" w:eastAsia="仿宋_GB2312"/>
          <w:color w:val="auto"/>
          <w:szCs w:val="21"/>
          <w:highlight w:val="none"/>
        </w:rPr>
        <w:t>5</w:t>
      </w:r>
      <w:r>
        <w:rPr>
          <w:rFonts w:ascii="仿宋_GB2312" w:eastAsia="仿宋_GB2312"/>
          <w:color w:val="auto"/>
          <w:szCs w:val="21"/>
          <w:highlight w:val="none"/>
        </w:rPr>
        <w:t>.4</w:t>
      </w:r>
      <w:r>
        <w:rPr>
          <w:rFonts w:hint="eastAsia" w:ascii="仿宋_GB2312" w:eastAsia="仿宋_GB2312"/>
          <w:color w:val="auto"/>
          <w:szCs w:val="21"/>
          <w:highlight w:val="none"/>
        </w:rPr>
        <w:t>因政府采购合同部分履行引发诉讼的，在诉讼期间，除正在进行诉讼的部分外，本政府采购合同的其它部分应继续执行。</w:t>
      </w:r>
    </w:p>
    <w:p>
      <w:pPr>
        <w:adjustRightInd w:val="0"/>
        <w:snapToGrid w:val="0"/>
        <w:spacing w:line="360" w:lineRule="auto"/>
        <w:ind w:firstLine="411" w:firstLineChars="196"/>
        <w:rPr>
          <w:rFonts w:ascii="仿宋_GB2312" w:eastAsia="仿宋_GB2312"/>
          <w:b/>
          <w:color w:val="auto"/>
          <w:szCs w:val="21"/>
          <w:highlight w:val="none"/>
        </w:rPr>
      </w:pPr>
      <w:bookmarkStart w:id="182" w:name="_Toc7773_WPSOffice_Level1"/>
      <w:bookmarkStart w:id="183" w:name="_Toc27539_WPSOffice_Level1"/>
      <w:bookmarkStart w:id="184" w:name="_Toc1917_WPSOffice_Level1"/>
      <w:r>
        <w:rPr>
          <w:rFonts w:hint="eastAsia" w:ascii="仿宋_GB2312" w:eastAsia="仿宋_GB2312"/>
          <w:b/>
          <w:color w:val="auto"/>
          <w:szCs w:val="21"/>
          <w:highlight w:val="none"/>
        </w:rPr>
        <w:t>16.违约终止政府采购合同</w:t>
      </w:r>
      <w:bookmarkEnd w:id="182"/>
      <w:bookmarkEnd w:id="183"/>
      <w:bookmarkEnd w:id="184"/>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16.1在需方因供方违约而按政府采购合同约定采取的任何补救措施均无效的情况下，需方可在下列情况下向供方发出书面通知，提出终止部分或全部政府采购合同。</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16.1.1如果供方未能在政府采购合同规定的限期或需方同意延长的限期内提供部分或全部货物和服务；</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16.1.2未经需方事先书面同意，供方部分转让和分包或全部转让和分包其应履行的政府采购合同义务。</w:t>
      </w:r>
    </w:p>
    <w:p>
      <w:pPr>
        <w:adjustRightInd w:val="0"/>
        <w:snapToGrid w:val="0"/>
        <w:spacing w:line="360" w:lineRule="auto"/>
        <w:ind w:firstLine="411" w:firstLineChars="196"/>
        <w:rPr>
          <w:rFonts w:ascii="仿宋_GB2312" w:eastAsia="仿宋_GB2312"/>
          <w:b/>
          <w:color w:val="auto"/>
          <w:szCs w:val="21"/>
          <w:highlight w:val="none"/>
        </w:rPr>
      </w:pPr>
      <w:bookmarkStart w:id="185" w:name="_Toc27976_WPSOffice_Level1"/>
      <w:bookmarkStart w:id="186" w:name="_Toc4220_WPSOffice_Level1"/>
      <w:bookmarkStart w:id="187" w:name="_Toc11967_WPSOffice_Level1"/>
      <w:r>
        <w:rPr>
          <w:rFonts w:hint="eastAsia" w:ascii="仿宋_GB2312" w:eastAsia="仿宋_GB2312"/>
          <w:b/>
          <w:color w:val="auto"/>
          <w:szCs w:val="21"/>
          <w:highlight w:val="none"/>
        </w:rPr>
        <w:t>17.政府采购合同转让和分包</w:t>
      </w:r>
      <w:bookmarkEnd w:id="185"/>
      <w:bookmarkEnd w:id="186"/>
      <w:bookmarkEnd w:id="187"/>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除招标文件规定,并经需方事先书面同意外，供方不得部分转让和分包或全部转让和分包其应履行的政府采购合同义务。</w:t>
      </w:r>
    </w:p>
    <w:p>
      <w:pPr>
        <w:adjustRightInd w:val="0"/>
        <w:snapToGrid w:val="0"/>
        <w:spacing w:line="360" w:lineRule="auto"/>
        <w:ind w:firstLine="411" w:firstLineChars="196"/>
        <w:rPr>
          <w:rFonts w:ascii="仿宋_GB2312" w:eastAsia="仿宋_GB2312"/>
          <w:b/>
          <w:color w:val="auto"/>
          <w:szCs w:val="21"/>
          <w:highlight w:val="none"/>
        </w:rPr>
      </w:pPr>
      <w:bookmarkStart w:id="188" w:name="_Toc737_WPSOffice_Level1"/>
      <w:bookmarkStart w:id="189" w:name="_Toc16873_WPSOffice_Level1"/>
      <w:bookmarkStart w:id="190" w:name="_Toc30020_WPSOffice_Level1"/>
      <w:r>
        <w:rPr>
          <w:rFonts w:hint="eastAsia" w:ascii="仿宋_GB2312" w:eastAsia="仿宋_GB2312"/>
          <w:b/>
          <w:color w:val="auto"/>
          <w:szCs w:val="21"/>
          <w:highlight w:val="none"/>
        </w:rPr>
        <w:t>18.适用法律：</w:t>
      </w:r>
      <w:bookmarkEnd w:id="188"/>
      <w:bookmarkEnd w:id="189"/>
      <w:bookmarkEnd w:id="190"/>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本政府采购合同按照中华人民共和国的现行法律进行解释。</w:t>
      </w:r>
    </w:p>
    <w:p>
      <w:pPr>
        <w:adjustRightInd w:val="0"/>
        <w:snapToGrid w:val="0"/>
        <w:spacing w:line="360" w:lineRule="auto"/>
        <w:ind w:firstLine="411" w:firstLineChars="196"/>
        <w:rPr>
          <w:rFonts w:ascii="仿宋_GB2312" w:eastAsia="仿宋_GB2312"/>
          <w:b/>
          <w:color w:val="auto"/>
          <w:szCs w:val="21"/>
          <w:highlight w:val="none"/>
        </w:rPr>
      </w:pPr>
      <w:bookmarkStart w:id="191" w:name="_Toc20985_WPSOffice_Level1"/>
      <w:bookmarkStart w:id="192" w:name="_Toc29009_WPSOffice_Level1"/>
      <w:bookmarkStart w:id="193" w:name="_Toc23749_WPSOffice_Level1"/>
      <w:r>
        <w:rPr>
          <w:rFonts w:hint="eastAsia" w:ascii="仿宋_GB2312" w:eastAsia="仿宋_GB2312"/>
          <w:b/>
          <w:color w:val="auto"/>
          <w:szCs w:val="21"/>
          <w:highlight w:val="none"/>
        </w:rPr>
        <w:t>19.政府采购合同生效</w:t>
      </w:r>
      <w:bookmarkEnd w:id="191"/>
      <w:bookmarkEnd w:id="192"/>
      <w:bookmarkEnd w:id="193"/>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19.1本政府采购合同在供需双方法定代表人或其授权代理人签字和加盖公章后生效。</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19.2本政府采购合同一式五份，需方执三份，供方、采购代理机构各执一份。</w:t>
      </w:r>
    </w:p>
    <w:p>
      <w:pPr>
        <w:adjustRightInd w:val="0"/>
        <w:snapToGrid w:val="0"/>
        <w:spacing w:line="360" w:lineRule="auto"/>
        <w:ind w:firstLine="411" w:firstLineChars="196"/>
        <w:rPr>
          <w:rFonts w:ascii="仿宋_GB2312" w:eastAsia="仿宋_GB2312"/>
          <w:b/>
          <w:color w:val="auto"/>
          <w:szCs w:val="21"/>
          <w:highlight w:val="none"/>
        </w:rPr>
      </w:pPr>
      <w:bookmarkStart w:id="194" w:name="_Toc12339_WPSOffice_Level1"/>
      <w:bookmarkStart w:id="195" w:name="_Toc20274_WPSOffice_Level1"/>
      <w:bookmarkStart w:id="196" w:name="_Toc405_WPSOffice_Level1"/>
      <w:r>
        <w:rPr>
          <w:rFonts w:hint="eastAsia" w:ascii="仿宋_GB2312" w:eastAsia="仿宋_GB2312"/>
          <w:b/>
          <w:color w:val="auto"/>
          <w:szCs w:val="21"/>
          <w:highlight w:val="none"/>
        </w:rPr>
        <w:t>20.政府采购合同附件</w:t>
      </w:r>
      <w:bookmarkEnd w:id="194"/>
      <w:bookmarkEnd w:id="195"/>
      <w:bookmarkEnd w:id="196"/>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下列文件构成本政府采购合同不可分割的组成部分，与本政府采购合同具有同等法律效力：</w:t>
      </w:r>
    </w:p>
    <w:p>
      <w:pPr>
        <w:adjustRightInd w:val="0"/>
        <w:snapToGrid w:val="0"/>
        <w:spacing w:line="360" w:lineRule="auto"/>
        <w:ind w:firstLine="411" w:firstLineChars="196"/>
        <w:rPr>
          <w:rFonts w:ascii="仿宋_GB2312" w:eastAsia="仿宋_GB2312"/>
          <w:color w:val="auto"/>
          <w:szCs w:val="21"/>
          <w:highlight w:val="none"/>
        </w:rPr>
      </w:pPr>
      <w:bookmarkStart w:id="197" w:name="_Toc3518_WPSOffice_Level2"/>
      <w:r>
        <w:rPr>
          <w:rFonts w:hint="eastAsia" w:ascii="仿宋_GB2312" w:eastAsia="仿宋_GB2312"/>
          <w:color w:val="auto"/>
          <w:szCs w:val="21"/>
          <w:highlight w:val="none"/>
        </w:rPr>
        <w:t>20.1招标文件；</w:t>
      </w:r>
      <w:bookmarkEnd w:id="197"/>
    </w:p>
    <w:p>
      <w:pPr>
        <w:adjustRightInd w:val="0"/>
        <w:snapToGrid w:val="0"/>
        <w:spacing w:line="360" w:lineRule="auto"/>
        <w:ind w:firstLine="411" w:firstLineChars="196"/>
        <w:rPr>
          <w:rFonts w:ascii="仿宋_GB2312" w:eastAsia="仿宋_GB2312"/>
          <w:color w:val="auto"/>
          <w:szCs w:val="21"/>
          <w:highlight w:val="none"/>
        </w:rPr>
      </w:pPr>
      <w:bookmarkStart w:id="198" w:name="_Toc7342_WPSOffice_Level2"/>
      <w:r>
        <w:rPr>
          <w:rFonts w:hint="eastAsia" w:ascii="仿宋_GB2312" w:eastAsia="仿宋_GB2312"/>
          <w:color w:val="auto"/>
          <w:szCs w:val="21"/>
          <w:highlight w:val="none"/>
        </w:rPr>
        <w:t>20.2招标文件的更正公告、变更公告；</w:t>
      </w:r>
      <w:bookmarkEnd w:id="198"/>
    </w:p>
    <w:p>
      <w:pPr>
        <w:adjustRightInd w:val="0"/>
        <w:snapToGrid w:val="0"/>
        <w:spacing w:line="360" w:lineRule="auto"/>
        <w:ind w:firstLine="411" w:firstLineChars="196"/>
        <w:rPr>
          <w:rFonts w:ascii="仿宋_GB2312" w:eastAsia="仿宋_GB2312"/>
          <w:color w:val="auto"/>
          <w:szCs w:val="21"/>
          <w:highlight w:val="none"/>
        </w:rPr>
      </w:pPr>
      <w:bookmarkStart w:id="199" w:name="_Toc576_WPSOffice_Level2"/>
      <w:r>
        <w:rPr>
          <w:rFonts w:hint="eastAsia" w:ascii="仿宋_GB2312" w:eastAsia="仿宋_GB2312"/>
          <w:color w:val="auto"/>
          <w:szCs w:val="21"/>
          <w:highlight w:val="none"/>
        </w:rPr>
        <w:t>20.3中标人提交的投标文件；</w:t>
      </w:r>
      <w:bookmarkEnd w:id="199"/>
    </w:p>
    <w:p>
      <w:pPr>
        <w:adjustRightInd w:val="0"/>
        <w:snapToGrid w:val="0"/>
        <w:spacing w:line="360" w:lineRule="auto"/>
        <w:ind w:firstLine="411" w:firstLineChars="196"/>
        <w:rPr>
          <w:rFonts w:ascii="仿宋_GB2312" w:eastAsia="仿宋_GB2312"/>
          <w:color w:val="auto"/>
          <w:szCs w:val="21"/>
          <w:highlight w:val="none"/>
        </w:rPr>
      </w:pPr>
      <w:bookmarkStart w:id="200" w:name="_Toc25464_WPSOffice_Level2"/>
      <w:r>
        <w:rPr>
          <w:rFonts w:hint="eastAsia" w:ascii="仿宋_GB2312" w:eastAsia="仿宋_GB2312"/>
          <w:color w:val="auto"/>
          <w:szCs w:val="21"/>
          <w:highlight w:val="none"/>
        </w:rPr>
        <w:t>20.4政府采购合同条款；</w:t>
      </w:r>
      <w:bookmarkEnd w:id="200"/>
    </w:p>
    <w:p>
      <w:pPr>
        <w:adjustRightInd w:val="0"/>
        <w:snapToGrid w:val="0"/>
        <w:spacing w:line="360" w:lineRule="auto"/>
        <w:ind w:firstLine="411" w:firstLineChars="196"/>
        <w:rPr>
          <w:rFonts w:ascii="仿宋_GB2312" w:eastAsia="仿宋_GB2312"/>
          <w:color w:val="auto"/>
          <w:szCs w:val="21"/>
          <w:highlight w:val="none"/>
        </w:rPr>
      </w:pPr>
      <w:bookmarkStart w:id="201" w:name="_Toc25590_WPSOffice_Level2"/>
      <w:r>
        <w:rPr>
          <w:rFonts w:hint="eastAsia" w:ascii="仿宋_GB2312" w:eastAsia="仿宋_GB2312"/>
          <w:color w:val="auto"/>
          <w:szCs w:val="21"/>
          <w:highlight w:val="none"/>
        </w:rPr>
        <w:t>20.5中标通知书；</w:t>
      </w:r>
      <w:bookmarkEnd w:id="201"/>
    </w:p>
    <w:p>
      <w:pPr>
        <w:adjustRightInd w:val="0"/>
        <w:snapToGrid w:val="0"/>
        <w:spacing w:line="360" w:lineRule="auto"/>
        <w:ind w:firstLine="411" w:firstLineChars="196"/>
        <w:rPr>
          <w:rFonts w:ascii="仿宋_GB2312" w:eastAsia="仿宋_GB2312"/>
          <w:color w:val="auto"/>
          <w:szCs w:val="21"/>
          <w:highlight w:val="none"/>
        </w:rPr>
      </w:pPr>
      <w:bookmarkStart w:id="202" w:name="_Toc10297_WPSOffice_Level2"/>
      <w:r>
        <w:rPr>
          <w:rFonts w:hint="eastAsia" w:ascii="仿宋_GB2312" w:eastAsia="仿宋_GB2312"/>
          <w:color w:val="auto"/>
          <w:szCs w:val="21"/>
          <w:highlight w:val="none"/>
        </w:rPr>
        <w:t>20.6政府采购合同的其它附件。</w:t>
      </w:r>
      <w:bookmarkEnd w:id="202"/>
    </w:p>
    <w:p>
      <w:pPr>
        <w:ind w:firstLine="470" w:firstLineChars="196"/>
        <w:rPr>
          <w:rFonts w:ascii="仿宋_GB2312" w:eastAsia="仿宋_GB2312"/>
          <w:color w:val="auto"/>
          <w:sz w:val="24"/>
          <w:highlight w:val="none"/>
        </w:rPr>
      </w:pPr>
    </w:p>
    <w:p>
      <w:pPr>
        <w:ind w:firstLine="470" w:firstLineChars="196"/>
        <w:rPr>
          <w:rFonts w:ascii="仿宋_GB2312" w:eastAsia="仿宋_GB2312"/>
          <w:color w:val="auto"/>
          <w:sz w:val="24"/>
          <w:highlight w:val="none"/>
        </w:rPr>
      </w:pPr>
    </w:p>
    <w:p>
      <w:pPr>
        <w:rPr>
          <w:rFonts w:ascii="仿宋_GB2312" w:eastAsia="仿宋_GB2312"/>
          <w:color w:val="auto"/>
          <w:sz w:val="24"/>
          <w:highlight w:val="none"/>
        </w:rPr>
      </w:pPr>
      <w:r>
        <w:rPr>
          <w:rFonts w:ascii="仿宋_GB2312" w:eastAsia="仿宋_GB2312"/>
          <w:color w:val="auto"/>
          <w:sz w:val="24"/>
          <w:highlight w:val="none"/>
        </w:rPr>
        <w:br w:type="page"/>
      </w:r>
    </w:p>
    <w:p>
      <w:pPr>
        <w:pStyle w:val="5"/>
        <w:adjustRightInd w:val="0"/>
        <w:snapToGrid w:val="0"/>
        <w:spacing w:before="0" w:after="0" w:line="240" w:lineRule="auto"/>
        <w:jc w:val="left"/>
        <w:rPr>
          <w:rFonts w:ascii="仿宋_GB2312" w:hAnsi="宋体" w:eastAsia="仿宋_GB2312"/>
          <w:color w:val="auto"/>
          <w:sz w:val="21"/>
          <w:szCs w:val="21"/>
          <w:highlight w:val="none"/>
        </w:rPr>
      </w:pPr>
      <w:bookmarkStart w:id="203" w:name="_Toc7342_WPSOffice_Level1"/>
      <w:bookmarkStart w:id="204" w:name="_Toc3044_WPSOffice_Level1"/>
      <w:bookmarkStart w:id="205" w:name="_Toc372_WPSOffice_Level1"/>
      <w:r>
        <w:rPr>
          <w:rFonts w:hint="eastAsia" w:ascii="仿宋_GB2312" w:hAnsi="仿宋_GB2312" w:eastAsia="仿宋_GB2312" w:cs="仿宋_GB2312"/>
          <w:color w:val="auto"/>
          <w:szCs w:val="28"/>
          <w:highlight w:val="none"/>
        </w:rPr>
        <w:t>合同格式</w:t>
      </w:r>
      <w:bookmarkEnd w:id="203"/>
      <w:bookmarkEnd w:id="204"/>
      <w:bookmarkEnd w:id="205"/>
    </w:p>
    <w:p>
      <w:pPr>
        <w:spacing w:before="319" w:beforeLines="100" w:after="319" w:afterLines="100"/>
        <w:jc w:val="center"/>
        <w:rPr>
          <w:rFonts w:ascii="仿宋_GB2312" w:hAnsi="仿宋_GB2312" w:eastAsia="仿宋_GB2312" w:cs="仿宋_GB2312"/>
          <w:b/>
          <w:color w:val="auto"/>
          <w:sz w:val="52"/>
          <w:szCs w:val="52"/>
          <w:highlight w:val="none"/>
        </w:rPr>
      </w:pPr>
    </w:p>
    <w:p>
      <w:pPr>
        <w:spacing w:before="319" w:beforeLines="100" w:after="319" w:afterLines="100"/>
        <w:jc w:val="center"/>
        <w:rPr>
          <w:rFonts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52"/>
          <w:szCs w:val="52"/>
          <w:highlight w:val="none"/>
        </w:rPr>
        <w:t>沈阳建筑大学货物类政府采购合同</w:t>
      </w:r>
    </w:p>
    <w:p>
      <w:pPr>
        <w:spacing w:before="319" w:beforeLines="100" w:after="319" w:afterLines="100" w:line="480" w:lineRule="exact"/>
        <w:jc w:val="center"/>
        <w:rPr>
          <w:rFonts w:ascii="仿宋_GB2312" w:hAnsi="仿宋_GB2312" w:eastAsia="仿宋_GB2312" w:cs="仿宋_GB2312"/>
          <w:b/>
          <w:color w:val="auto"/>
          <w:sz w:val="36"/>
          <w:szCs w:val="36"/>
          <w:highlight w:val="none"/>
        </w:rPr>
      </w:pPr>
    </w:p>
    <w:p>
      <w:pPr>
        <w:spacing w:before="319" w:beforeLines="100" w:after="319" w:afterLines="100" w:line="480" w:lineRule="exact"/>
        <w:jc w:val="center"/>
        <w:rPr>
          <w:rFonts w:ascii="仿宋_GB2312" w:hAnsi="仿宋_GB2312" w:eastAsia="仿宋_GB2312" w:cs="仿宋_GB2312"/>
          <w:b/>
          <w:color w:val="auto"/>
          <w:sz w:val="36"/>
          <w:szCs w:val="36"/>
          <w:highlight w:val="none"/>
        </w:rPr>
      </w:pPr>
    </w:p>
    <w:p>
      <w:pPr>
        <w:spacing w:before="319" w:beforeLines="100" w:after="319" w:afterLines="100"/>
        <w:jc w:val="center"/>
        <w:rPr>
          <w:rFonts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52"/>
          <w:szCs w:val="52"/>
          <w:highlight w:val="none"/>
        </w:rPr>
        <w:t>（第  包）</w:t>
      </w:r>
    </w:p>
    <w:p>
      <w:pPr>
        <w:spacing w:before="319" w:beforeLines="100" w:after="319" w:afterLines="100"/>
        <w:jc w:val="center"/>
        <w:rPr>
          <w:rFonts w:ascii="仿宋_GB2312" w:hAnsi="仿宋_GB2312" w:eastAsia="仿宋_GB2312" w:cs="仿宋_GB2312"/>
          <w:b/>
          <w:color w:val="auto"/>
          <w:sz w:val="36"/>
          <w:szCs w:val="36"/>
          <w:highlight w:val="none"/>
        </w:rPr>
      </w:pPr>
    </w:p>
    <w:p>
      <w:pPr>
        <w:ind w:firstLine="548" w:firstLineChars="196"/>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项目名称：</w:t>
      </w:r>
    </w:p>
    <w:p>
      <w:pPr>
        <w:ind w:firstLine="548" w:firstLineChars="196"/>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合同编号：</w:t>
      </w:r>
    </w:p>
    <w:p>
      <w:pPr>
        <w:ind w:firstLine="548" w:firstLineChars="196"/>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合同供方：</w:t>
      </w:r>
    </w:p>
    <w:p>
      <w:pPr>
        <w:ind w:firstLine="548" w:firstLineChars="196"/>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计划名称：</w:t>
      </w:r>
    </w:p>
    <w:p>
      <w:pPr>
        <w:ind w:firstLine="548" w:firstLineChars="196"/>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计划编号：</w:t>
      </w:r>
    </w:p>
    <w:p>
      <w:pPr>
        <w:ind w:firstLine="548" w:firstLineChars="196"/>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采购代理机构：</w:t>
      </w:r>
    </w:p>
    <w:p>
      <w:pPr>
        <w:ind w:firstLine="548" w:firstLineChars="196"/>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合同签订时间：</w:t>
      </w:r>
    </w:p>
    <w:p>
      <w:pPr>
        <w:ind w:firstLine="548" w:firstLineChars="196"/>
        <w:jc w:val="lef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合同签订地点：</w:t>
      </w:r>
    </w:p>
    <w:p>
      <w:pPr>
        <w:pStyle w:val="5"/>
        <w:adjustRightInd w:val="0"/>
        <w:snapToGrid w:val="0"/>
        <w:spacing w:before="0" w:after="0" w:line="240" w:lineRule="auto"/>
        <w:jc w:val="left"/>
        <w:rPr>
          <w:rFonts w:ascii="仿宋_GB2312" w:hAnsi="仿宋_GB2312" w:eastAsia="仿宋_GB2312" w:cs="仿宋_GB2312"/>
          <w:color w:val="auto"/>
          <w:szCs w:val="28"/>
          <w:highlight w:val="none"/>
        </w:rPr>
      </w:pPr>
      <w:r>
        <w:rPr>
          <w:rFonts w:hint="eastAsia" w:ascii="仿宋" w:hAnsi="仿宋" w:cs="仿宋"/>
          <w:color w:val="auto"/>
          <w:szCs w:val="21"/>
          <w:highlight w:val="none"/>
        </w:rPr>
        <w:br w:type="page"/>
      </w:r>
      <w:r>
        <w:rPr>
          <w:rFonts w:hint="eastAsia" w:ascii="仿宋_GB2312" w:hAnsi="仿宋_GB2312" w:eastAsia="仿宋_GB2312" w:cs="仿宋_GB2312"/>
          <w:color w:val="auto"/>
          <w:szCs w:val="28"/>
          <w:highlight w:val="none"/>
        </w:rPr>
        <w:t>合同条款</w:t>
      </w:r>
    </w:p>
    <w:p>
      <w:pPr>
        <w:widowControl/>
        <w:jc w:val="center"/>
        <w:rPr>
          <w:rFonts w:ascii="仿宋" w:hAnsi="仿宋" w:cs="仿宋"/>
          <w:b/>
          <w:color w:val="auto"/>
          <w:sz w:val="44"/>
          <w:szCs w:val="44"/>
          <w:highlight w:val="none"/>
        </w:rPr>
      </w:pPr>
      <w:r>
        <w:rPr>
          <w:rFonts w:hint="eastAsia" w:ascii="仿宋" w:hAnsi="仿宋" w:cs="仿宋"/>
          <w:b/>
          <w:color w:val="auto"/>
          <w:sz w:val="44"/>
          <w:szCs w:val="44"/>
          <w:highlight w:val="none"/>
        </w:rPr>
        <w:t>政府采购合同条款</w:t>
      </w:r>
    </w:p>
    <w:p>
      <w:pPr>
        <w:pStyle w:val="5"/>
        <w:adjustRightInd w:val="0"/>
        <w:snapToGrid w:val="0"/>
        <w:spacing w:before="0" w:after="0" w:line="240" w:lineRule="auto"/>
        <w:jc w:val="left"/>
        <w:rPr>
          <w:rFonts w:ascii="仿宋" w:hAnsi="仿宋" w:cs="仿宋"/>
          <w:color w:val="auto"/>
          <w:szCs w:val="28"/>
          <w:highlight w:val="none"/>
        </w:rPr>
      </w:pPr>
    </w:p>
    <w:p>
      <w:pPr>
        <w:adjustRightInd w:val="0"/>
        <w:snapToGrid w:val="0"/>
        <w:spacing w:line="360" w:lineRule="auto"/>
        <w:ind w:firstLine="411" w:firstLineChars="196"/>
        <w:rPr>
          <w:rFonts w:ascii="仿宋_GB2312" w:eastAsia="仿宋_GB2312"/>
          <w:b/>
          <w:bCs/>
          <w:color w:val="auto"/>
          <w:szCs w:val="21"/>
          <w:highlight w:val="none"/>
        </w:rPr>
      </w:pPr>
      <w:r>
        <w:rPr>
          <w:rFonts w:hint="eastAsia" w:ascii="仿宋_GB2312" w:eastAsia="仿宋_GB2312"/>
          <w:b/>
          <w:bCs/>
          <w:color w:val="auto"/>
          <w:szCs w:val="21"/>
          <w:highlight w:val="none"/>
        </w:rPr>
        <w:t>1.术语定义</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本政府采购合同下列术语应解释为：</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1.1“政府采购合同”指供需双方依照政府采购程序、按照招标文件、投标文件确定的事项所达成的协议，包括附件、附录和上述文件所提到的构成政府采购合同的所有文件。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1.2“政府采购合同价”指根据合同约定供方在正确地完全履行政府采购合同义务后，需方应支付给供方的价格。</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政府采购合同货物”指政府采购合同货物清单（同投标文件中开标一览表及其附表，下同）中所约定的各种形态和种类的物品，包括原材料、燃料、设备、产品、硬件、软件、安装材料、备件及专用器具、文件资料等内容。</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1.4“服务”指根据政府采购合同约定供方应承担的与供货有关的伴随服务，包括（但不限于）政府采购合同货物的运输、保险、安装、测试、调试、培训、维修、提供技术指导和支持、保修期外的维护以及其它类似的义务。</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1.5“需方”指项目基本内容及要求中所述取得货物和服务的采购人。</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1.6“供方”指项目基本内容及要求中所述提供产品和服务的中标人。</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1.7“检验”指需方或者需方的最终用户收货后，按照本政府采购合同约定的标准对政府采购合同货物进行的检测与查验。</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1.8“验收书”指需方对供方履行政府采购合同情况及结果进行现场检验和评估意见的文件。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1.9“技术资料”指安装、调试、使用、维修政府采购合同货物所应具备的产品使用说明书和、或使用指南、操作手册、维修指南、服务手册、电路图、产品演示等文件及音像资料。</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1.10“保修期”指自验收书签署之日起，供方以自担费用方式保证政府采购合同货物正常运行的时期。</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1.11“第三人”是指本政府采购合同双方以外的任何中国境内外的自然人、法人或其它经济组织。</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1.12“法律、法规”是指由中国各级政府及有关部门制定的法律、行政法规、地方性法规、规章及其它规范性文件的有关规定。</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1.13“招标文件”指采购人或者采购代理机构发布的招标文件。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1.14“投标文件”指供方按照采购代理机构招标文件的要求编制和递交，并最终被评标委员会接受的投标文件。</w:t>
      </w:r>
    </w:p>
    <w:p>
      <w:pPr>
        <w:rPr>
          <w:color w:val="auto"/>
          <w:highlight w:val="none"/>
        </w:rPr>
      </w:pPr>
      <w:r>
        <w:rPr>
          <w:rFonts w:hint="eastAsia"/>
          <w:color w:val="auto"/>
          <w:highlight w:val="none"/>
        </w:rPr>
        <w:t>2.技术指标</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2.1交付产品的技术指标应与招标文件规定的技术指标要求及投标文件中的“技术规格偏离表及商务条款偏离表”的承诺内容相一致。</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2.2 除技术指标另有规定外，计量单位应该使用公制。</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3.交货</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3.1供方按照合同约定的时间、地点交货</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3.2供方交货的同时应提交下列文件：销售发票，制造厂商出具的质量检验证书、产品合格证以及招标文件、投标文件确定供方应随货物同时提供的其他资料。</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4.合同金额</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color w:val="auto"/>
          <w:szCs w:val="21"/>
          <w:highlight w:val="none"/>
        </w:rPr>
        <w:t>根据政府采购合同文件要求，确定政府采购合同的总金额。</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5.付款</w:t>
      </w:r>
    </w:p>
    <w:p>
      <w:pPr>
        <w:adjustRightInd w:val="0"/>
        <w:snapToGrid w:val="0"/>
        <w:spacing w:line="360" w:lineRule="auto"/>
        <w:ind w:firstLine="411" w:firstLineChars="196"/>
        <w:rPr>
          <w:rFonts w:ascii="仿宋_GB2312" w:eastAsia="仿宋_GB2312"/>
          <w:color w:val="auto"/>
          <w:szCs w:val="21"/>
          <w:highlight w:val="none"/>
          <w:u w:val="single"/>
        </w:rPr>
      </w:pPr>
      <w:r>
        <w:rPr>
          <w:rFonts w:hint="eastAsia" w:ascii="仿宋_GB2312" w:eastAsia="仿宋_GB2312"/>
          <w:color w:val="auto"/>
          <w:szCs w:val="21"/>
          <w:highlight w:val="none"/>
        </w:rPr>
        <w:t>5.1付款方式、条件：需方按照合同约定的方式和条件付款。</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6.验收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6.1供方提交的货物由需方或者需方的最终用户负责验收。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6.2需方或者需方的最终用户应当按照采购合同规定的技术、服务等要求组织对供应商履约的验收，并出具验收书。验收书应当包括每一项技术、服务等要求的履约情况。</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6.3大型或者复杂的项目，应当邀请国家认可的质量检测机构参加验收。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6.4政府向社会公众提供的公共服务项目，验收时应当邀请服务对象参与并出具意见，验收结果应当向社会公告。</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6.6货物保修期自验收书签署之日起计算。</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7.知识产权及有关规定</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7.2一方对另一方提供的技术资料、样件、图纸及其他与质量、技术、经营相关信息（包括但不限于价格、数量）有保密义务。双方应确保其人员及相关协作方承担保密义务。</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7.4本合同中涉及保密和知识产权任何条款，在合同期限内及合同终止后持续有效。</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8.包装要求</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8.2每一个包装箱内应附一份详细的装箱单和质量合格证书。</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8.3包装费由供方承担，包装物不回收。</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9.伴随服务</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9.1供方应提供所交付货物的全套技术文件资料，包括产品目录、图纸、操作手册、使用说明、维护手册和服务指南等。</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9.2供方还应提供下列服务：</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9.2.1货物的现场安装、启动和试运行；</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9.2.2提供货物组装和维修所需的工具；</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9.2.3在质量保证期内对所交付货物提供运行监督、维修、保养等,如果招标文件没有特别要求，以供方在投标文件中提交的售后服务承诺书为准。如果上述文件规定有不一致之处，以对需方有利的为准。</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9.2.4在制造厂家或在项目现场就货物的安装、启动、运行、维护等对需方人员进行培训，直至需方人员掌握全部上述技能为止。</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9.3伴随服务的费用应含在合同价中，不单独进行支付。</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10.质量保证期</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10.1以招标文件中的规定为准，如果投标文件中的承诺优于招标文件规定，则以投标文件为准。</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10.2如果招标文件没有特别要求，以供方在投标文件中提交的制造厂商的有关文件为准。如果上述文件规定有不一致之处，以对需方有利的为准。</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11.质量保证</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11.3如果供方在接到需方通知后，在本政府采购合同约定的响应时间内没有弥补缺陷，需方可采取必要的补救措施，但其风险和费用将由供方负担，并且需方根据合同规定对供方行使的其它权利不受影响。</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12.技术服务和保修责任</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12.1供方对政府采购合同货物的保修期，以招标文件中的规定为准，如果投标文件中的承诺优于招标文件规定，则以投标文件为准。</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12.2供方应按如下内容提供售后服务：</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12.2.1产品经过试运行期，所有性能指标达到技术规范书的要求时，可按招标文件、投标文件内容进行初验。在试运行期间，由于产品质量等造成某些指标达不到要求，供方须更换或进行修复，试运行期重新计算。</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12.2.3保修期间供方要保修除消耗品以外的所有产品。如果系统、设备等发生故障，供方要调查故障原因并修复直至满足最终验收指标和性能的要求，或者修理、更换整个或部分有缺陷的材料。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12.2.4保修期内，供方提供电话、电子邮件、Web、现场服务等方式的技术支持，对用户的现场服务要求，供方必须按投标文件做出的承诺进行响应。</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12.2.5保修期内，供方应对出现故障无法修复的产品或无法正常运行的系统，提供替代产品以保证系统的正常工作。</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12.2.6保修期内，供方应投标时的承诺提供相关服务。</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13.违约责任</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13.1.1在需方同意延长的期限内交付全部货物、提供服务并承担由此给需方造成的一切损失；</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13.1.3根据货物低劣程度、损坏程度以及使需方所遭受的损失，经双方商定降低货物的价格或赔偿需方所遭受的损失；</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13.1.5需方有权部分或全部解除政府采购合同并要求供方赔偿由此造成的损失。此时需方可采取必要的补救措施，相关费用由供方承担。</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13.3延期交货的违约责任</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13.3.2如供方在政府采购合同规定的交货日期后10天内仍未能交货，则视为供方不能交货，需方有权解除政府采购合同，供方除退还已收取的货款外，还应向需方偿付政府采购合同总金额10%的违约金。</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13.4以上各项交付的违约金并不影响违约方履行政府采购合同的各项义务。</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14.不可抗力</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14.2本条所述的“不可抗力”系指那些双方无法控制，不可预见的事件，但不包括双方的违约或疏忽。这些事件包括但不限于：战争、严重火灾、洪水、台风、地震。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15.争端的解决</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15.1政府采购合同的履行、违约责任和解决争议的方法等适用《</w:t>
      </w:r>
      <w:r>
        <w:rPr>
          <w:rFonts w:hint="eastAsia" w:ascii="仿宋_GB2312" w:eastAsia="仿宋_GB2312"/>
          <w:color w:val="auto"/>
          <w:szCs w:val="21"/>
          <w:highlight w:val="none"/>
          <w:lang w:eastAsia="zh-CN"/>
        </w:rPr>
        <w:t>中华人民共和国民法典</w:t>
      </w:r>
      <w:r>
        <w:rPr>
          <w:rFonts w:hint="eastAsia" w:ascii="仿宋_GB2312" w:eastAsia="仿宋_GB2312"/>
          <w:color w:val="auto"/>
          <w:szCs w:val="21"/>
          <w:highlight w:val="none"/>
        </w:rPr>
        <w:t>》。</w:t>
      </w:r>
    </w:p>
    <w:p>
      <w:pPr>
        <w:adjustRightInd w:val="0"/>
        <w:snapToGrid w:val="0"/>
        <w:spacing w:line="360" w:lineRule="auto"/>
        <w:ind w:firstLine="411" w:firstLineChars="196"/>
        <w:rPr>
          <w:rFonts w:ascii="仿宋_GB2312" w:eastAsia="仿宋_GB2312"/>
          <w:color w:val="auto"/>
          <w:szCs w:val="21"/>
          <w:highlight w:val="none"/>
        </w:rPr>
      </w:pPr>
      <w:r>
        <w:rPr>
          <w:rFonts w:ascii="仿宋_GB2312" w:eastAsia="仿宋_GB2312"/>
          <w:color w:val="auto"/>
          <w:szCs w:val="21"/>
          <w:highlight w:val="none"/>
        </w:rPr>
        <w:t>1</w:t>
      </w:r>
      <w:r>
        <w:rPr>
          <w:rFonts w:hint="eastAsia" w:ascii="仿宋_GB2312" w:eastAsia="仿宋_GB2312"/>
          <w:color w:val="auto"/>
          <w:szCs w:val="21"/>
          <w:highlight w:val="none"/>
        </w:rPr>
        <w:t>5</w:t>
      </w:r>
      <w:r>
        <w:rPr>
          <w:rFonts w:ascii="仿宋_GB2312" w:eastAsia="仿宋_GB2312"/>
          <w:color w:val="auto"/>
          <w:szCs w:val="21"/>
          <w:highlight w:val="none"/>
        </w:rPr>
        <w:t>.2</w:t>
      </w:r>
      <w:r>
        <w:rPr>
          <w:rFonts w:hint="eastAsia" w:ascii="仿宋_GB2312" w:eastAsia="仿宋_GB2312"/>
          <w:color w:val="auto"/>
          <w:szCs w:val="21"/>
          <w:highlight w:val="none"/>
        </w:rPr>
        <w:t>需方和供方应通过友好协商，解决在执行本政府采购合同过程中所发生的或与本政府采购合同有关的一切争端。</w:t>
      </w:r>
    </w:p>
    <w:p>
      <w:pPr>
        <w:adjustRightInd w:val="0"/>
        <w:snapToGrid w:val="0"/>
        <w:spacing w:line="360" w:lineRule="auto"/>
        <w:ind w:firstLine="411" w:firstLineChars="196"/>
        <w:rPr>
          <w:rFonts w:ascii="仿宋_GB2312" w:eastAsia="仿宋_GB2312"/>
          <w:color w:val="auto"/>
          <w:szCs w:val="21"/>
          <w:highlight w:val="none"/>
        </w:rPr>
      </w:pPr>
      <w:r>
        <w:rPr>
          <w:rFonts w:ascii="仿宋_GB2312" w:eastAsia="仿宋_GB2312"/>
          <w:color w:val="auto"/>
          <w:szCs w:val="21"/>
          <w:highlight w:val="none"/>
        </w:rPr>
        <w:t>1</w:t>
      </w:r>
      <w:r>
        <w:rPr>
          <w:rFonts w:hint="eastAsia" w:ascii="仿宋_GB2312" w:eastAsia="仿宋_GB2312"/>
          <w:color w:val="auto"/>
          <w:szCs w:val="21"/>
          <w:highlight w:val="none"/>
        </w:rPr>
        <w:t>5</w:t>
      </w:r>
      <w:r>
        <w:rPr>
          <w:rFonts w:ascii="仿宋_GB2312" w:eastAsia="仿宋_GB2312"/>
          <w:color w:val="auto"/>
          <w:szCs w:val="21"/>
          <w:highlight w:val="none"/>
        </w:rPr>
        <w:t>.3</w:t>
      </w:r>
      <w:r>
        <w:rPr>
          <w:rFonts w:hint="eastAsia" w:ascii="仿宋_GB2312" w:eastAsia="仿宋_GB2312"/>
          <w:color w:val="auto"/>
          <w:szCs w:val="21"/>
          <w:highlight w:val="none"/>
        </w:rPr>
        <w:t>如果协商不成，双方中的任何一方可向需方所在地的人民法院提起诉讼。</w:t>
      </w:r>
    </w:p>
    <w:p>
      <w:pPr>
        <w:adjustRightInd w:val="0"/>
        <w:snapToGrid w:val="0"/>
        <w:spacing w:line="360" w:lineRule="auto"/>
        <w:ind w:firstLine="411" w:firstLineChars="196"/>
        <w:rPr>
          <w:rFonts w:ascii="仿宋_GB2312" w:eastAsia="仿宋_GB2312"/>
          <w:color w:val="auto"/>
          <w:szCs w:val="21"/>
          <w:highlight w:val="none"/>
        </w:rPr>
      </w:pPr>
      <w:r>
        <w:rPr>
          <w:rFonts w:ascii="仿宋_GB2312" w:eastAsia="仿宋_GB2312"/>
          <w:color w:val="auto"/>
          <w:szCs w:val="21"/>
          <w:highlight w:val="none"/>
        </w:rPr>
        <w:t>1</w:t>
      </w:r>
      <w:r>
        <w:rPr>
          <w:rFonts w:hint="eastAsia" w:ascii="仿宋_GB2312" w:eastAsia="仿宋_GB2312"/>
          <w:color w:val="auto"/>
          <w:szCs w:val="21"/>
          <w:highlight w:val="none"/>
        </w:rPr>
        <w:t>5</w:t>
      </w:r>
      <w:r>
        <w:rPr>
          <w:rFonts w:ascii="仿宋_GB2312" w:eastAsia="仿宋_GB2312"/>
          <w:color w:val="auto"/>
          <w:szCs w:val="21"/>
          <w:highlight w:val="none"/>
        </w:rPr>
        <w:t>.4</w:t>
      </w:r>
      <w:r>
        <w:rPr>
          <w:rFonts w:hint="eastAsia" w:ascii="仿宋_GB2312" w:eastAsia="仿宋_GB2312"/>
          <w:color w:val="auto"/>
          <w:szCs w:val="21"/>
          <w:highlight w:val="none"/>
        </w:rPr>
        <w:t>因政府采购合同部分履行引发诉讼的，在诉讼期间，除正在进行诉讼的部分外，本政府采购合同的其它部分应继续执行。</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16.违约终止政府采购合同</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16.1在需方因供方违约而按政府采购合同约定采取的任何补救措施均无效的情况下，需方可在下列情况下向供方发出书面通知，提出终止部分或全部政府采购合同。</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16.1.1如果供方未能在政府采购合同规定的限期或需方同意延长的限期内提供部分或全部货物和服务；</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16.1.2未经需方事先书面同意，供方部分转让和分包或全部转让和分包其应履行的政府采购合同义务。</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17.政府采购合同转让和分包</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除招标文件规定,并经需方事先书面同意外，供方不得部分转让和分包或全部转让和分包其应履行的政府采购合同义务。</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18.适用法律：</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本政府采购合同按照中华人民共和国的现行法律进行解释。</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19.政府采购合同生效</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19.1本政府采购合同在供需双方法定代表人或其授权代理人签字和加盖公章后生效。</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19.2本政府采购合同一式五份，需方执三份，供方、采购代理机构各执一份。</w:t>
      </w:r>
    </w:p>
    <w:p>
      <w:pPr>
        <w:adjustRightInd w:val="0"/>
        <w:snapToGrid w:val="0"/>
        <w:spacing w:line="360" w:lineRule="auto"/>
        <w:ind w:firstLine="411" w:firstLineChars="196"/>
        <w:rPr>
          <w:rFonts w:ascii="仿宋_GB2312" w:eastAsia="仿宋_GB2312"/>
          <w:b/>
          <w:color w:val="auto"/>
          <w:szCs w:val="21"/>
          <w:highlight w:val="none"/>
        </w:rPr>
      </w:pPr>
      <w:r>
        <w:rPr>
          <w:rFonts w:hint="eastAsia" w:ascii="仿宋_GB2312" w:eastAsia="仿宋_GB2312"/>
          <w:b/>
          <w:color w:val="auto"/>
          <w:szCs w:val="21"/>
          <w:highlight w:val="none"/>
        </w:rPr>
        <w:t>20.政府采购合同附件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下列文件构成本政府采购合同不可分割的组成部分，与本政府采购合同具有同等法律效力：</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20.1招标文件；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20.2招标文件的更正公告、变更公告；</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20.3中标人提交的投标文件；</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20.4政府采购合同条款；</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20.5中标通知书；</w:t>
      </w:r>
    </w:p>
    <w:p>
      <w:pPr>
        <w:adjustRightInd w:val="0"/>
        <w:snapToGrid w:val="0"/>
        <w:spacing w:line="360" w:lineRule="auto"/>
        <w:ind w:firstLine="411" w:firstLineChars="196"/>
        <w:rPr>
          <w:rFonts w:ascii="仿宋_GB2312" w:eastAsia="仿宋_GB2312"/>
          <w:color w:val="auto"/>
          <w:szCs w:val="21"/>
          <w:highlight w:val="none"/>
        </w:rPr>
      </w:pPr>
      <w:r>
        <w:rPr>
          <w:rFonts w:hint="eastAsia" w:ascii="仿宋_GB2312" w:eastAsia="仿宋_GB2312"/>
          <w:color w:val="auto"/>
          <w:szCs w:val="21"/>
          <w:highlight w:val="none"/>
        </w:rPr>
        <w:t>20.6政府采购合同的其它附件。</w:t>
      </w:r>
    </w:p>
    <w:p>
      <w:pPr>
        <w:pStyle w:val="5"/>
        <w:adjustRightInd w:val="0"/>
        <w:snapToGrid w:val="0"/>
        <w:spacing w:before="0" w:after="0" w:line="240" w:lineRule="auto"/>
        <w:jc w:val="left"/>
        <w:rPr>
          <w:rFonts w:ascii="仿宋_GB2312" w:hAnsi="宋体" w:eastAsia="仿宋_GB2312"/>
          <w:color w:val="auto"/>
          <w:sz w:val="21"/>
          <w:szCs w:val="21"/>
          <w:highlight w:val="none"/>
        </w:rPr>
      </w:pPr>
      <w:r>
        <w:rPr>
          <w:rFonts w:hint="eastAsia" w:ascii="仿宋" w:hAnsi="仿宋" w:cs="仿宋"/>
          <w:color w:val="auto"/>
          <w:szCs w:val="21"/>
          <w:highlight w:val="none"/>
        </w:rPr>
        <w:br w:type="page"/>
      </w:r>
      <w:r>
        <w:rPr>
          <w:rFonts w:hint="eastAsia" w:ascii="仿宋_GB2312" w:hAnsi="仿宋_GB2312" w:eastAsia="仿宋_GB2312" w:cs="仿宋_GB2312"/>
          <w:color w:val="auto"/>
          <w:szCs w:val="28"/>
          <w:highlight w:val="none"/>
        </w:rPr>
        <w:t>合同格式</w:t>
      </w:r>
    </w:p>
    <w:p>
      <w:pPr>
        <w:adjustRightInd w:val="0"/>
        <w:snapToGrid w:val="0"/>
        <w:spacing w:line="360" w:lineRule="auto"/>
        <w:jc w:val="center"/>
        <w:rPr>
          <w:rFonts w:ascii="仿宋_GB2312" w:eastAsia="仿宋_GB2312"/>
          <w:b/>
          <w:bCs/>
          <w:color w:val="auto"/>
          <w:sz w:val="44"/>
          <w:szCs w:val="44"/>
          <w:highlight w:val="none"/>
        </w:rPr>
      </w:pPr>
      <w:r>
        <w:rPr>
          <w:rFonts w:hint="eastAsia" w:ascii="仿宋_GB2312" w:eastAsia="仿宋_GB2312"/>
          <w:b/>
          <w:bCs/>
          <w:color w:val="auto"/>
          <w:sz w:val="44"/>
          <w:szCs w:val="44"/>
          <w:highlight w:val="none"/>
        </w:rPr>
        <w:t>政府采购合同格式</w:t>
      </w:r>
    </w:p>
    <w:p>
      <w:pPr>
        <w:adjustRightInd w:val="0"/>
        <w:snapToGrid w:val="0"/>
        <w:spacing w:line="360" w:lineRule="auto"/>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政府采购合同编号：</w:t>
      </w:r>
    </w:p>
    <w:p>
      <w:pPr>
        <w:adjustRightInd w:val="0"/>
        <w:snapToGrid w:val="0"/>
        <w:spacing w:line="360" w:lineRule="auto"/>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签订地点：</w:t>
      </w:r>
    </w:p>
    <w:p>
      <w:pPr>
        <w:adjustRightInd w:val="0"/>
        <w:snapToGrid w:val="0"/>
        <w:spacing w:line="360" w:lineRule="auto"/>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u w:val="single"/>
        </w:rPr>
        <w:t>沈阳建筑大学</w:t>
      </w:r>
      <w:r>
        <w:rPr>
          <w:rFonts w:hint="eastAsia" w:ascii="仿宋_GB2312" w:eastAsia="仿宋_GB2312"/>
          <w:color w:val="auto"/>
          <w:szCs w:val="21"/>
          <w:highlight w:val="none"/>
        </w:rPr>
        <w:t xml:space="preserve"> （以下简称需方）和</w:t>
      </w:r>
      <w:r>
        <w:rPr>
          <w:rFonts w:hint="eastAsia" w:ascii="仿宋_GB2312" w:eastAsia="仿宋_GB2312"/>
          <w:color w:val="auto"/>
          <w:szCs w:val="21"/>
          <w:highlight w:val="none"/>
          <w:u w:val="single"/>
        </w:rPr>
        <w:t xml:space="preserve">   (供方名称)    </w:t>
      </w:r>
      <w:r>
        <w:rPr>
          <w:rFonts w:hint="eastAsia" w:ascii="仿宋_GB2312" w:eastAsia="仿宋_GB2312"/>
          <w:color w:val="auto"/>
          <w:szCs w:val="21"/>
          <w:highlight w:val="none"/>
        </w:rPr>
        <w:t xml:space="preserve"> （以下简称供方）根据《</w:t>
      </w:r>
      <w:r>
        <w:rPr>
          <w:rFonts w:hint="eastAsia" w:ascii="仿宋_GB2312" w:eastAsia="仿宋_GB2312"/>
          <w:color w:val="auto"/>
          <w:szCs w:val="21"/>
          <w:highlight w:val="none"/>
          <w:lang w:eastAsia="zh-CN"/>
        </w:rPr>
        <w:t>中华人民共和国民法典</w:t>
      </w:r>
      <w:r>
        <w:rPr>
          <w:rFonts w:hint="eastAsia" w:ascii="仿宋_GB2312" w:eastAsia="仿宋_GB2312"/>
          <w:color w:val="auto"/>
          <w:szCs w:val="21"/>
          <w:highlight w:val="none"/>
        </w:rPr>
        <w:t>》和有关法律法规，遵循平等、自愿、公平和诚实信用原则，同意按照下面的条款和条件订立本政府采购合同，共同信守。</w:t>
      </w:r>
    </w:p>
    <w:p>
      <w:pPr>
        <w:adjustRightInd w:val="0"/>
        <w:snapToGrid w:val="0"/>
        <w:spacing w:line="360" w:lineRule="auto"/>
        <w:jc w:val="left"/>
        <w:rPr>
          <w:rFonts w:ascii="黑体" w:eastAsia="黑体"/>
          <w:b/>
          <w:color w:val="auto"/>
          <w:szCs w:val="21"/>
          <w:highlight w:val="none"/>
        </w:rPr>
      </w:pPr>
      <w:r>
        <w:rPr>
          <w:rFonts w:hint="eastAsia" w:ascii="黑体" w:eastAsia="黑体"/>
          <w:b/>
          <w:color w:val="auto"/>
          <w:szCs w:val="21"/>
          <w:highlight w:val="none"/>
        </w:rPr>
        <w:t>　　</w:t>
      </w:r>
      <w:bookmarkStart w:id="206" w:name="_Toc13230_WPSOffice_Level2"/>
      <w:r>
        <w:rPr>
          <w:rFonts w:hint="eastAsia" w:ascii="黑体" w:eastAsia="黑体"/>
          <w:b/>
          <w:color w:val="auto"/>
          <w:szCs w:val="21"/>
          <w:highlight w:val="none"/>
        </w:rPr>
        <w:t>一、政府采购合同文件</w:t>
      </w:r>
      <w:bookmarkEnd w:id="206"/>
    </w:p>
    <w:p>
      <w:pPr>
        <w:adjustRightInd w:val="0"/>
        <w:snapToGrid w:val="0"/>
        <w:spacing w:line="360" w:lineRule="auto"/>
        <w:jc w:val="left"/>
        <w:rPr>
          <w:rFonts w:ascii="仿宋_GB2312" w:eastAsia="仿宋_GB2312"/>
          <w:color w:val="auto"/>
          <w:szCs w:val="21"/>
          <w:highlight w:val="none"/>
        </w:rPr>
      </w:pPr>
      <w:r>
        <w:rPr>
          <w:rFonts w:hint="eastAsia" w:ascii="仿宋_GB2312" w:eastAsia="仿宋_GB2312"/>
          <w:color w:val="auto"/>
          <w:szCs w:val="21"/>
          <w:highlight w:val="none"/>
        </w:rPr>
        <w:t xml:space="preserve">    本政府采购合同所附下列文件是构成本政府采购合同不可分割的部分：</w:t>
      </w:r>
    </w:p>
    <w:p>
      <w:pPr>
        <w:adjustRightInd w:val="0"/>
        <w:snapToGrid w:val="0"/>
        <w:spacing w:line="360" w:lineRule="auto"/>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1.招标文件（招标文件编号）；</w:t>
      </w:r>
    </w:p>
    <w:p>
      <w:pPr>
        <w:adjustRightInd w:val="0"/>
        <w:snapToGrid w:val="0"/>
        <w:spacing w:line="360" w:lineRule="auto"/>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2.招标文件的更正公告、变更公告；</w:t>
      </w:r>
    </w:p>
    <w:p>
      <w:pPr>
        <w:adjustRightInd w:val="0"/>
        <w:snapToGrid w:val="0"/>
        <w:spacing w:line="360" w:lineRule="auto"/>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3.中标人提交的投标文件；</w:t>
      </w:r>
    </w:p>
    <w:p>
      <w:pPr>
        <w:adjustRightInd w:val="0"/>
        <w:snapToGrid w:val="0"/>
        <w:spacing w:line="360" w:lineRule="auto"/>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4.政府采购合同条款；</w:t>
      </w:r>
    </w:p>
    <w:p>
      <w:pPr>
        <w:adjustRightInd w:val="0"/>
        <w:snapToGrid w:val="0"/>
        <w:spacing w:line="360" w:lineRule="auto"/>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5</w:t>
      </w:r>
      <w:r>
        <w:rPr>
          <w:rFonts w:hint="eastAsia" w:ascii="黑体" w:eastAsia="黑体"/>
          <w:color w:val="auto"/>
          <w:szCs w:val="21"/>
          <w:highlight w:val="none"/>
        </w:rPr>
        <w:t>.</w:t>
      </w:r>
      <w:r>
        <w:rPr>
          <w:rFonts w:hint="eastAsia" w:ascii="仿宋_GB2312" w:eastAsia="仿宋_GB2312"/>
          <w:color w:val="auto"/>
          <w:szCs w:val="21"/>
          <w:highlight w:val="none"/>
        </w:rPr>
        <w:t>中标通知书；</w:t>
      </w:r>
    </w:p>
    <w:p>
      <w:pPr>
        <w:adjustRightInd w:val="0"/>
        <w:snapToGrid w:val="0"/>
        <w:spacing w:line="360" w:lineRule="auto"/>
        <w:ind w:firstLine="420" w:firstLineChars="200"/>
        <w:jc w:val="left"/>
        <w:rPr>
          <w:rFonts w:ascii="仿宋_GB2312" w:eastAsia="仿宋_GB2312"/>
          <w:color w:val="auto"/>
          <w:szCs w:val="21"/>
          <w:highlight w:val="none"/>
        </w:rPr>
      </w:pPr>
      <w:r>
        <w:rPr>
          <w:rFonts w:hint="eastAsia" w:ascii="仿宋_GB2312" w:eastAsia="仿宋_GB2312"/>
          <w:color w:val="auto"/>
          <w:szCs w:val="21"/>
          <w:highlight w:val="none"/>
        </w:rPr>
        <w:t>6</w:t>
      </w:r>
      <w:r>
        <w:rPr>
          <w:rFonts w:hint="eastAsia" w:ascii="黑体" w:eastAsia="黑体"/>
          <w:color w:val="auto"/>
          <w:szCs w:val="21"/>
          <w:highlight w:val="none"/>
        </w:rPr>
        <w:t>.</w:t>
      </w:r>
      <w:r>
        <w:rPr>
          <w:rFonts w:hint="eastAsia" w:ascii="仿宋_GB2312" w:eastAsia="仿宋_GB2312" w:cs="Arial"/>
          <w:color w:val="auto"/>
          <w:szCs w:val="21"/>
          <w:highlight w:val="none"/>
        </w:rPr>
        <w:t>政府采购合同的其它附件。</w:t>
      </w:r>
    </w:p>
    <w:p>
      <w:pPr>
        <w:adjustRightInd w:val="0"/>
        <w:snapToGrid w:val="0"/>
        <w:spacing w:line="360" w:lineRule="auto"/>
        <w:jc w:val="left"/>
        <w:rPr>
          <w:rFonts w:ascii="黑体" w:eastAsia="黑体"/>
          <w:b/>
          <w:color w:val="auto"/>
          <w:szCs w:val="21"/>
          <w:highlight w:val="none"/>
        </w:rPr>
      </w:pPr>
      <w:r>
        <w:rPr>
          <w:rFonts w:hint="eastAsia" w:ascii="黑体" w:eastAsia="黑体"/>
          <w:b/>
          <w:color w:val="auto"/>
          <w:szCs w:val="21"/>
          <w:highlight w:val="none"/>
        </w:rPr>
        <w:t>　　</w:t>
      </w:r>
      <w:bookmarkStart w:id="207" w:name="_Toc19527_WPSOffice_Level2"/>
      <w:r>
        <w:rPr>
          <w:rFonts w:hint="eastAsia" w:ascii="黑体" w:eastAsia="黑体"/>
          <w:b/>
          <w:color w:val="auto"/>
          <w:szCs w:val="21"/>
          <w:highlight w:val="none"/>
        </w:rPr>
        <w:t>二、政府采购合同范围和条件</w:t>
      </w:r>
      <w:bookmarkEnd w:id="207"/>
    </w:p>
    <w:p>
      <w:pPr>
        <w:adjustRightInd w:val="0"/>
        <w:snapToGrid w:val="0"/>
        <w:spacing w:line="360" w:lineRule="auto"/>
        <w:jc w:val="left"/>
        <w:rPr>
          <w:rFonts w:ascii="仿宋_GB2312" w:eastAsia="仿宋_GB2312"/>
          <w:color w:val="auto"/>
          <w:szCs w:val="21"/>
          <w:highlight w:val="none"/>
        </w:rPr>
      </w:pPr>
      <w:r>
        <w:rPr>
          <w:rFonts w:hint="eastAsia" w:ascii="仿宋_GB2312" w:eastAsia="仿宋_GB2312"/>
          <w:color w:val="auto"/>
          <w:szCs w:val="21"/>
          <w:highlight w:val="none"/>
        </w:rPr>
        <w:t xml:space="preserve">    本政府采购合同的范围和条件与上述政府采购合同文件的规定相一致。</w:t>
      </w:r>
    </w:p>
    <w:p>
      <w:pPr>
        <w:adjustRightInd w:val="0"/>
        <w:snapToGrid w:val="0"/>
        <w:spacing w:line="360" w:lineRule="auto"/>
        <w:jc w:val="left"/>
        <w:rPr>
          <w:rFonts w:ascii="黑体" w:eastAsia="黑体"/>
          <w:b/>
          <w:color w:val="auto"/>
          <w:szCs w:val="21"/>
          <w:highlight w:val="none"/>
        </w:rPr>
      </w:pPr>
      <w:r>
        <w:rPr>
          <w:rFonts w:hint="eastAsia" w:ascii="黑体" w:eastAsia="黑体"/>
          <w:b/>
          <w:color w:val="auto"/>
          <w:szCs w:val="21"/>
          <w:highlight w:val="none"/>
        </w:rPr>
        <w:t>　　</w:t>
      </w:r>
      <w:bookmarkStart w:id="208" w:name="_Toc18050_WPSOffice_Level2"/>
      <w:r>
        <w:rPr>
          <w:rFonts w:hint="eastAsia" w:ascii="黑体" w:eastAsia="黑体"/>
          <w:b/>
          <w:color w:val="auto"/>
          <w:szCs w:val="21"/>
          <w:highlight w:val="none"/>
        </w:rPr>
        <w:t>三、政府采购合同标的</w:t>
      </w:r>
      <w:bookmarkEnd w:id="208"/>
    </w:p>
    <w:p>
      <w:pPr>
        <w:adjustRightInd w:val="0"/>
        <w:snapToGrid w:val="0"/>
        <w:spacing w:line="360" w:lineRule="auto"/>
        <w:jc w:val="left"/>
        <w:rPr>
          <w:rFonts w:ascii="仿宋_GB2312" w:eastAsia="仿宋_GB2312"/>
          <w:color w:val="auto"/>
          <w:szCs w:val="21"/>
          <w:highlight w:val="none"/>
        </w:rPr>
      </w:pPr>
      <w:r>
        <w:rPr>
          <w:rFonts w:hint="eastAsia" w:ascii="仿宋_GB2312" w:eastAsia="仿宋_GB2312"/>
          <w:color w:val="auto"/>
          <w:szCs w:val="21"/>
          <w:highlight w:val="none"/>
        </w:rPr>
        <w:t xml:space="preserve">   本政府采购合同的标的和数量为政府采购合同货物清单(同投标文件中分项报价表)中所列货物及相关服务。</w:t>
      </w:r>
    </w:p>
    <w:p>
      <w:pPr>
        <w:adjustRightInd w:val="0"/>
        <w:snapToGrid w:val="0"/>
        <w:spacing w:line="360" w:lineRule="auto"/>
        <w:jc w:val="left"/>
        <w:rPr>
          <w:rFonts w:ascii="黑体" w:eastAsia="黑体"/>
          <w:b/>
          <w:color w:val="auto"/>
          <w:szCs w:val="21"/>
          <w:highlight w:val="none"/>
        </w:rPr>
      </w:pPr>
      <w:r>
        <w:rPr>
          <w:rFonts w:hint="eastAsia" w:ascii="黑体" w:eastAsia="黑体"/>
          <w:b/>
          <w:color w:val="auto"/>
          <w:szCs w:val="21"/>
          <w:highlight w:val="none"/>
        </w:rPr>
        <w:t>　　</w:t>
      </w:r>
      <w:bookmarkStart w:id="209" w:name="_Toc27886_WPSOffice_Level2"/>
      <w:r>
        <w:rPr>
          <w:rFonts w:hint="eastAsia" w:ascii="黑体" w:eastAsia="黑体"/>
          <w:b/>
          <w:color w:val="auto"/>
          <w:szCs w:val="21"/>
          <w:highlight w:val="none"/>
        </w:rPr>
        <w:t>四、政府采购合同金额</w:t>
      </w:r>
      <w:bookmarkEnd w:id="209"/>
    </w:p>
    <w:p>
      <w:pPr>
        <w:adjustRightInd w:val="0"/>
        <w:snapToGrid w:val="0"/>
        <w:spacing w:line="360" w:lineRule="auto"/>
        <w:jc w:val="left"/>
        <w:rPr>
          <w:rFonts w:ascii="仿宋_GB2312" w:eastAsia="仿宋_GB2312"/>
          <w:color w:val="auto"/>
          <w:szCs w:val="21"/>
          <w:highlight w:val="none"/>
        </w:rPr>
      </w:pPr>
      <w:r>
        <w:rPr>
          <w:rFonts w:hint="eastAsia" w:ascii="仿宋_GB2312" w:eastAsia="仿宋_GB2312"/>
          <w:color w:val="auto"/>
          <w:szCs w:val="21"/>
          <w:highlight w:val="none"/>
        </w:rPr>
        <w:t xml:space="preserve">    根据上述政府采购合同文件要求，政府采购合同的总金额为人民币</w:t>
      </w:r>
      <w:r>
        <w:rPr>
          <w:rFonts w:hint="eastAsia" w:ascii="仿宋_GB2312" w:eastAsia="仿宋_GB2312"/>
          <w:color w:val="auto"/>
          <w:szCs w:val="21"/>
          <w:highlight w:val="none"/>
          <w:u w:val="single"/>
        </w:rPr>
        <w:t xml:space="preserve">  （大写）                </w:t>
      </w:r>
      <w:r>
        <w:rPr>
          <w:rFonts w:hint="eastAsia" w:ascii="仿宋_GB2312" w:eastAsia="仿宋_GB2312"/>
          <w:color w:val="auto"/>
          <w:szCs w:val="21"/>
          <w:highlight w:val="none"/>
        </w:rPr>
        <w:t xml:space="preserve"> 元。</w:t>
      </w:r>
    </w:p>
    <w:p>
      <w:pPr>
        <w:adjustRightInd w:val="0"/>
        <w:snapToGrid w:val="0"/>
        <w:spacing w:line="360" w:lineRule="auto"/>
        <w:jc w:val="left"/>
        <w:rPr>
          <w:rFonts w:ascii="仿宋_GB2312" w:eastAsia="仿宋_GB2312"/>
          <w:color w:val="auto"/>
          <w:szCs w:val="21"/>
          <w:highlight w:val="none"/>
        </w:rPr>
      </w:pPr>
      <w:r>
        <w:rPr>
          <w:rFonts w:hint="eastAsia" w:ascii="仿宋_GB2312" w:eastAsia="仿宋_GB2312"/>
          <w:color w:val="auto"/>
          <w:szCs w:val="21"/>
          <w:highlight w:val="none"/>
        </w:rPr>
        <w:t xml:space="preserve">    注：存在分项产品的必须清晰列明分项产品明细，包括名称、数量、分项报价等，并作为合同组成部分。</w:t>
      </w:r>
    </w:p>
    <w:p>
      <w:pPr>
        <w:adjustRightInd w:val="0"/>
        <w:snapToGrid w:val="0"/>
        <w:spacing w:line="360" w:lineRule="auto"/>
        <w:jc w:val="left"/>
        <w:rPr>
          <w:rFonts w:ascii="黑体" w:eastAsia="黑体"/>
          <w:b/>
          <w:color w:val="auto"/>
          <w:szCs w:val="21"/>
          <w:highlight w:val="none"/>
        </w:rPr>
      </w:pPr>
      <w:r>
        <w:rPr>
          <w:rFonts w:hint="eastAsia" w:ascii="黑体" w:eastAsia="黑体"/>
          <w:b/>
          <w:color w:val="auto"/>
          <w:szCs w:val="21"/>
          <w:highlight w:val="none"/>
        </w:rPr>
        <w:t>　　</w:t>
      </w:r>
      <w:bookmarkStart w:id="210" w:name="_Toc22211_WPSOffice_Level2"/>
      <w:r>
        <w:rPr>
          <w:rFonts w:hint="eastAsia" w:ascii="黑体" w:eastAsia="黑体"/>
          <w:b/>
          <w:color w:val="auto"/>
          <w:szCs w:val="21"/>
          <w:highlight w:val="none"/>
        </w:rPr>
        <w:t>五、付款方式及条件</w:t>
      </w:r>
      <w:bookmarkEnd w:id="210"/>
    </w:p>
    <w:p>
      <w:pPr>
        <w:adjustRightInd w:val="0"/>
        <w:snapToGrid w:val="0"/>
        <w:spacing w:line="360" w:lineRule="auto"/>
        <w:jc w:val="left"/>
        <w:rPr>
          <w:rFonts w:ascii="仿宋_GB2312" w:eastAsia="仿宋_GB2312"/>
          <w:color w:val="auto"/>
          <w:szCs w:val="21"/>
          <w:highlight w:val="none"/>
          <w:u w:val="single"/>
        </w:rPr>
      </w:pPr>
      <w:r>
        <w:rPr>
          <w:rFonts w:hint="eastAsia" w:ascii="仿宋_GB2312" w:eastAsia="仿宋_GB2312"/>
          <w:color w:val="auto"/>
          <w:szCs w:val="21"/>
          <w:highlight w:val="none"/>
        </w:rPr>
        <w:t xml:space="preserve">    1.付款时间：</w:t>
      </w:r>
    </w:p>
    <w:p>
      <w:pPr>
        <w:adjustRightInd w:val="0"/>
        <w:snapToGrid w:val="0"/>
        <w:spacing w:line="360" w:lineRule="auto"/>
        <w:jc w:val="left"/>
        <w:rPr>
          <w:rFonts w:ascii="仿宋_GB2312" w:eastAsia="仿宋_GB2312"/>
          <w:color w:val="auto"/>
          <w:szCs w:val="21"/>
          <w:highlight w:val="none"/>
          <w:u w:val="single"/>
        </w:rPr>
      </w:pPr>
      <w:r>
        <w:rPr>
          <w:rFonts w:hint="eastAsia" w:ascii="仿宋_GB2312" w:eastAsia="仿宋_GB2312"/>
          <w:color w:val="auto"/>
          <w:szCs w:val="21"/>
          <w:highlight w:val="none"/>
        </w:rPr>
        <w:t xml:space="preserve">    2.付款方式：</w:t>
      </w:r>
    </w:p>
    <w:p>
      <w:pPr>
        <w:adjustRightInd w:val="0"/>
        <w:snapToGrid w:val="0"/>
        <w:spacing w:line="360" w:lineRule="auto"/>
        <w:jc w:val="left"/>
        <w:rPr>
          <w:rFonts w:ascii="仿宋_GB2312" w:eastAsia="仿宋_GB2312"/>
          <w:color w:val="auto"/>
          <w:szCs w:val="21"/>
          <w:highlight w:val="none"/>
          <w:u w:val="single"/>
        </w:rPr>
      </w:pPr>
      <w:r>
        <w:rPr>
          <w:rFonts w:hint="eastAsia" w:ascii="仿宋_GB2312" w:eastAsia="仿宋_GB2312"/>
          <w:color w:val="auto"/>
          <w:szCs w:val="21"/>
          <w:highlight w:val="none"/>
        </w:rPr>
        <w:t xml:space="preserve">    3.付款条件：</w:t>
      </w:r>
    </w:p>
    <w:p>
      <w:pPr>
        <w:adjustRightInd w:val="0"/>
        <w:snapToGrid w:val="0"/>
        <w:spacing w:line="360" w:lineRule="auto"/>
        <w:jc w:val="left"/>
        <w:rPr>
          <w:rFonts w:ascii="仿宋_GB2312" w:eastAsia="仿宋_GB2312"/>
          <w:color w:val="auto"/>
          <w:szCs w:val="21"/>
          <w:highlight w:val="none"/>
        </w:rPr>
      </w:pPr>
      <w:r>
        <w:rPr>
          <w:rFonts w:hint="eastAsia" w:ascii="黑体" w:eastAsia="黑体"/>
          <w:b/>
          <w:color w:val="auto"/>
          <w:szCs w:val="21"/>
          <w:highlight w:val="none"/>
        </w:rPr>
        <w:t>　　</w:t>
      </w:r>
      <w:bookmarkStart w:id="211" w:name="_Toc27813_WPSOffice_Level2"/>
      <w:r>
        <w:rPr>
          <w:rFonts w:hint="eastAsia" w:ascii="黑体" w:eastAsia="黑体"/>
          <w:b/>
          <w:color w:val="auto"/>
          <w:szCs w:val="21"/>
          <w:highlight w:val="none"/>
        </w:rPr>
        <w:t>六、交货时间和交货地点</w:t>
      </w:r>
      <w:bookmarkEnd w:id="211"/>
    </w:p>
    <w:p>
      <w:pPr>
        <w:adjustRightInd w:val="0"/>
        <w:snapToGrid w:val="0"/>
        <w:spacing w:line="360" w:lineRule="auto"/>
        <w:jc w:val="left"/>
        <w:rPr>
          <w:rFonts w:ascii="仿宋_GB2312" w:eastAsia="仿宋_GB2312"/>
          <w:color w:val="auto"/>
          <w:szCs w:val="21"/>
          <w:highlight w:val="none"/>
          <w:u w:val="single"/>
        </w:rPr>
      </w:pPr>
      <w:r>
        <w:rPr>
          <w:rFonts w:hint="eastAsia" w:ascii="仿宋_GB2312" w:eastAsia="仿宋_GB2312"/>
          <w:color w:val="auto"/>
          <w:szCs w:val="21"/>
          <w:highlight w:val="none"/>
        </w:rPr>
        <w:t xml:space="preserve">    1.交货时间：</w:t>
      </w:r>
    </w:p>
    <w:p>
      <w:pPr>
        <w:adjustRightInd w:val="0"/>
        <w:snapToGrid w:val="0"/>
        <w:spacing w:line="360" w:lineRule="auto"/>
        <w:jc w:val="left"/>
        <w:rPr>
          <w:rFonts w:ascii="仿宋_GB2312" w:eastAsia="仿宋_GB2312"/>
          <w:color w:val="auto"/>
          <w:szCs w:val="21"/>
          <w:highlight w:val="none"/>
          <w:u w:val="single"/>
        </w:rPr>
      </w:pPr>
      <w:r>
        <w:rPr>
          <w:rFonts w:hint="eastAsia" w:ascii="仿宋_GB2312" w:eastAsia="仿宋_GB2312"/>
          <w:color w:val="auto"/>
          <w:szCs w:val="21"/>
          <w:highlight w:val="none"/>
        </w:rPr>
        <w:t xml:space="preserve">    2.交货地点：</w:t>
      </w:r>
    </w:p>
    <w:p>
      <w:pPr>
        <w:adjustRightInd w:val="0"/>
        <w:snapToGrid w:val="0"/>
        <w:spacing w:line="360" w:lineRule="auto"/>
        <w:jc w:val="left"/>
        <w:rPr>
          <w:rFonts w:ascii="黑体" w:eastAsia="黑体"/>
          <w:b/>
          <w:color w:val="auto"/>
          <w:szCs w:val="21"/>
          <w:highlight w:val="none"/>
        </w:rPr>
      </w:pPr>
      <w:r>
        <w:rPr>
          <w:rFonts w:hint="eastAsia" w:ascii="黑体" w:eastAsia="黑体"/>
          <w:b/>
          <w:color w:val="auto"/>
          <w:szCs w:val="21"/>
          <w:highlight w:val="none"/>
        </w:rPr>
        <w:t>　　</w:t>
      </w:r>
      <w:bookmarkStart w:id="212" w:name="_Toc12497_WPSOffice_Level2"/>
      <w:r>
        <w:rPr>
          <w:rFonts w:hint="eastAsia" w:ascii="黑体" w:eastAsia="黑体"/>
          <w:b/>
          <w:color w:val="auto"/>
          <w:szCs w:val="21"/>
          <w:highlight w:val="none"/>
        </w:rPr>
        <w:t>七、验收要求</w:t>
      </w:r>
      <w:bookmarkEnd w:id="212"/>
    </w:p>
    <w:p>
      <w:pPr>
        <w:adjustRightInd w:val="0"/>
        <w:snapToGrid w:val="0"/>
        <w:spacing w:line="360" w:lineRule="auto"/>
        <w:ind w:firstLine="210" w:firstLineChars="100"/>
        <w:jc w:val="left"/>
        <w:rPr>
          <w:rFonts w:ascii="仿宋_GB2312" w:eastAsia="仿宋_GB2312"/>
          <w:color w:val="auto"/>
          <w:szCs w:val="21"/>
          <w:highlight w:val="none"/>
          <w:u w:val="single"/>
        </w:rPr>
      </w:pPr>
      <w:r>
        <w:rPr>
          <w:rFonts w:hint="eastAsia" w:ascii="仿宋_GB2312" w:eastAsia="仿宋_GB2312"/>
          <w:color w:val="auto"/>
          <w:szCs w:val="21"/>
          <w:highlight w:val="none"/>
        </w:rPr>
        <w:t>供方完全履行合同义务后，需方或需方的最终用户按照上述政府采购合同文件列明的标准进行验收，验收不合格的，供方需按照第八条第2款的约定承担相应违约责任。</w:t>
      </w:r>
    </w:p>
    <w:p>
      <w:pPr>
        <w:adjustRightInd w:val="0"/>
        <w:snapToGrid w:val="0"/>
        <w:spacing w:line="360" w:lineRule="auto"/>
        <w:ind w:firstLine="420" w:firstLineChars="200"/>
        <w:jc w:val="left"/>
        <w:rPr>
          <w:rFonts w:ascii="黑体" w:eastAsia="黑体"/>
          <w:b/>
          <w:color w:val="auto"/>
          <w:szCs w:val="21"/>
          <w:highlight w:val="none"/>
        </w:rPr>
      </w:pPr>
      <w:bookmarkStart w:id="213" w:name="_Toc4868_WPSOffice_Level2"/>
      <w:r>
        <w:rPr>
          <w:rFonts w:hint="eastAsia" w:ascii="黑体" w:eastAsia="黑体"/>
          <w:b/>
          <w:color w:val="auto"/>
          <w:szCs w:val="21"/>
          <w:highlight w:val="none"/>
        </w:rPr>
        <w:t>八、违约责任</w:t>
      </w:r>
      <w:bookmarkEnd w:id="213"/>
    </w:p>
    <w:p>
      <w:pPr>
        <w:adjustRightInd w:val="0"/>
        <w:snapToGrid w:val="0"/>
        <w:spacing w:line="360" w:lineRule="auto"/>
        <w:jc w:val="left"/>
        <w:rPr>
          <w:rFonts w:ascii="仿宋_GB2312" w:eastAsia="仿宋_GB2312"/>
          <w:color w:val="auto"/>
          <w:szCs w:val="21"/>
          <w:highlight w:val="none"/>
        </w:rPr>
      </w:pPr>
      <w:r>
        <w:rPr>
          <w:rFonts w:hint="eastAsia" w:ascii="仿宋_GB2312" w:eastAsia="仿宋_GB2312"/>
          <w:color w:val="auto"/>
          <w:szCs w:val="21"/>
          <w:highlight w:val="none"/>
        </w:rPr>
        <w:t xml:space="preserve">    1.供方逾期供货的，每逾期一天向需方支付逾期供货金额</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%的违约金，逾期</w:t>
      </w:r>
      <w:r>
        <w:rPr>
          <w:rFonts w:hint="eastAsia" w:ascii="仿宋_GB2312" w:eastAsia="仿宋_GB2312"/>
          <w:color w:val="auto"/>
          <w:szCs w:val="21"/>
          <w:highlight w:val="none"/>
          <w:u w:val="single"/>
        </w:rPr>
        <w:t xml:space="preserve">   </w:t>
      </w:r>
      <w:r>
        <w:rPr>
          <w:rFonts w:hint="eastAsia" w:ascii="仿宋_GB2312" w:eastAsia="仿宋_GB2312"/>
          <w:color w:val="auto"/>
          <w:szCs w:val="21"/>
          <w:highlight w:val="none"/>
        </w:rPr>
        <w:t>日的，需方有权单方面解除本协议。</w:t>
      </w:r>
    </w:p>
    <w:p>
      <w:pPr>
        <w:adjustRightInd w:val="0"/>
        <w:snapToGrid w:val="0"/>
        <w:spacing w:line="360" w:lineRule="auto"/>
        <w:jc w:val="left"/>
        <w:rPr>
          <w:rFonts w:ascii="仿宋_GB2312" w:eastAsia="仿宋_GB2312"/>
          <w:color w:val="auto"/>
          <w:szCs w:val="21"/>
          <w:highlight w:val="none"/>
        </w:rPr>
      </w:pPr>
      <w:r>
        <w:rPr>
          <w:rFonts w:hint="eastAsia" w:ascii="仿宋_GB2312" w:eastAsia="仿宋_GB2312"/>
          <w:color w:val="auto"/>
          <w:szCs w:val="21"/>
          <w:highlight w:val="none"/>
        </w:rPr>
        <w:t xml:space="preserve">    2.供方交付的货物不符合约定的，供方无条件更换符合约定的货物，并按照最终提供合格货物的日期遵照前款承担违约责任，更换一次货物后仍不符合约定的，需方有权单方面解除本协议。</w:t>
      </w:r>
    </w:p>
    <w:p>
      <w:pPr>
        <w:adjustRightInd w:val="0"/>
        <w:snapToGrid w:val="0"/>
        <w:spacing w:line="360" w:lineRule="auto"/>
        <w:ind w:firstLine="420" w:firstLineChars="200"/>
        <w:jc w:val="left"/>
        <w:rPr>
          <w:rFonts w:ascii="黑体" w:eastAsia="黑体"/>
          <w:b/>
          <w:color w:val="auto"/>
          <w:szCs w:val="21"/>
          <w:highlight w:val="none"/>
        </w:rPr>
      </w:pPr>
      <w:bookmarkStart w:id="214" w:name="_Toc24496_WPSOffice_Level2"/>
      <w:r>
        <w:rPr>
          <w:rFonts w:hint="eastAsia" w:ascii="黑体" w:eastAsia="黑体"/>
          <w:b/>
          <w:color w:val="auto"/>
          <w:szCs w:val="21"/>
          <w:highlight w:val="none"/>
        </w:rPr>
        <w:t>九、争议解决</w:t>
      </w:r>
      <w:bookmarkEnd w:id="214"/>
    </w:p>
    <w:p>
      <w:pPr>
        <w:adjustRightInd w:val="0"/>
        <w:snapToGrid w:val="0"/>
        <w:spacing w:line="360" w:lineRule="auto"/>
        <w:jc w:val="left"/>
        <w:rPr>
          <w:rFonts w:ascii="黑体" w:eastAsia="黑体"/>
          <w:b/>
          <w:color w:val="auto"/>
          <w:szCs w:val="21"/>
          <w:highlight w:val="none"/>
        </w:rPr>
      </w:pPr>
      <w:r>
        <w:rPr>
          <w:rFonts w:hint="eastAsia" w:ascii="仿宋_GB2312" w:eastAsia="仿宋_GB2312"/>
          <w:color w:val="auto"/>
          <w:szCs w:val="21"/>
          <w:highlight w:val="none"/>
        </w:rPr>
        <w:t xml:space="preserve">    双方因履行本协议而产生的争议，应友好协商解决，协商不成的，任何一方可向需方所在地的人民法院提起诉讼。</w:t>
      </w:r>
    </w:p>
    <w:p>
      <w:pPr>
        <w:adjustRightInd w:val="0"/>
        <w:snapToGrid w:val="0"/>
        <w:spacing w:line="360" w:lineRule="auto"/>
        <w:ind w:firstLine="420" w:firstLineChars="200"/>
        <w:jc w:val="left"/>
        <w:rPr>
          <w:rFonts w:ascii="黑体" w:eastAsia="黑体"/>
          <w:b/>
          <w:color w:val="auto"/>
          <w:szCs w:val="21"/>
          <w:highlight w:val="none"/>
        </w:rPr>
      </w:pPr>
      <w:bookmarkStart w:id="215" w:name="_Toc24974_WPSOffice_Level2"/>
      <w:r>
        <w:rPr>
          <w:rFonts w:hint="eastAsia" w:ascii="黑体" w:eastAsia="黑体"/>
          <w:b/>
          <w:color w:val="auto"/>
          <w:szCs w:val="21"/>
          <w:highlight w:val="none"/>
        </w:rPr>
        <w:t>十、合同生效</w:t>
      </w:r>
      <w:bookmarkEnd w:id="215"/>
    </w:p>
    <w:p>
      <w:pPr>
        <w:adjustRightInd w:val="0"/>
        <w:snapToGrid w:val="0"/>
        <w:spacing w:line="360" w:lineRule="auto"/>
        <w:jc w:val="left"/>
        <w:rPr>
          <w:rFonts w:ascii="仿宋_GB2312" w:eastAsia="仿宋_GB2312"/>
          <w:color w:val="auto"/>
          <w:szCs w:val="21"/>
          <w:highlight w:val="none"/>
        </w:rPr>
      </w:pPr>
      <w:r>
        <w:rPr>
          <w:rFonts w:hint="eastAsia" w:ascii="仿宋_GB2312" w:eastAsia="仿宋_GB2312"/>
          <w:color w:val="auto"/>
          <w:szCs w:val="21"/>
          <w:highlight w:val="none"/>
        </w:rPr>
        <w:t xml:space="preserve">    本政府采购合同经双方授权代表签字盖章后生效。</w:t>
      </w:r>
    </w:p>
    <w:tbl>
      <w:tblPr>
        <w:tblStyle w:val="18"/>
        <w:tblW w:w="8363" w:type="dxa"/>
        <w:jc w:val="center"/>
        <w:tblLayout w:type="fixed"/>
        <w:tblCellMar>
          <w:top w:w="0" w:type="dxa"/>
          <w:left w:w="108" w:type="dxa"/>
          <w:bottom w:w="0" w:type="dxa"/>
          <w:right w:w="108" w:type="dxa"/>
        </w:tblCellMar>
      </w:tblPr>
      <w:tblGrid>
        <w:gridCol w:w="4167"/>
        <w:gridCol w:w="4196"/>
      </w:tblGrid>
      <w:tr>
        <w:tblPrEx>
          <w:tblCellMar>
            <w:top w:w="0" w:type="dxa"/>
            <w:left w:w="108" w:type="dxa"/>
            <w:bottom w:w="0" w:type="dxa"/>
            <w:right w:w="108" w:type="dxa"/>
          </w:tblCellMar>
        </w:tblPrEx>
        <w:trPr>
          <w:jc w:val="center"/>
        </w:trPr>
        <w:tc>
          <w:tcPr>
            <w:tcW w:w="4167" w:type="dxa"/>
          </w:tcPr>
          <w:p>
            <w:pPr>
              <w:spacing w:line="520" w:lineRule="exact"/>
              <w:jc w:val="left"/>
              <w:outlineLvl w:val="0"/>
              <w:rPr>
                <w:rFonts w:ascii="仿宋_GB2312" w:eastAsia="仿宋_GB2312"/>
                <w:b/>
                <w:color w:val="auto"/>
                <w:szCs w:val="21"/>
                <w:highlight w:val="none"/>
              </w:rPr>
            </w:pPr>
          </w:p>
        </w:tc>
        <w:tc>
          <w:tcPr>
            <w:tcW w:w="4196" w:type="dxa"/>
          </w:tcPr>
          <w:p>
            <w:pPr>
              <w:spacing w:line="520" w:lineRule="exact"/>
              <w:jc w:val="left"/>
              <w:outlineLvl w:val="0"/>
              <w:rPr>
                <w:rFonts w:ascii="仿宋_GB2312" w:eastAsia="仿宋_GB2312"/>
                <w:b/>
                <w:color w:val="auto"/>
                <w:szCs w:val="21"/>
                <w:highlight w:val="none"/>
              </w:rPr>
            </w:pPr>
          </w:p>
        </w:tc>
      </w:tr>
      <w:tr>
        <w:tblPrEx>
          <w:tblCellMar>
            <w:top w:w="0" w:type="dxa"/>
            <w:left w:w="108" w:type="dxa"/>
            <w:bottom w:w="0" w:type="dxa"/>
            <w:right w:w="108" w:type="dxa"/>
          </w:tblCellMar>
        </w:tblPrEx>
        <w:trPr>
          <w:jc w:val="center"/>
        </w:trPr>
        <w:tc>
          <w:tcPr>
            <w:tcW w:w="4167" w:type="dxa"/>
          </w:tcPr>
          <w:p>
            <w:pPr>
              <w:spacing w:line="520" w:lineRule="exact"/>
              <w:jc w:val="left"/>
              <w:outlineLvl w:val="0"/>
              <w:rPr>
                <w:rFonts w:ascii="仿宋_GB2312" w:eastAsia="仿宋_GB2312"/>
                <w:b/>
                <w:color w:val="auto"/>
                <w:szCs w:val="21"/>
                <w:highlight w:val="none"/>
              </w:rPr>
            </w:pPr>
            <w:r>
              <w:rPr>
                <w:rFonts w:hint="eastAsia" w:ascii="仿宋_GB2312" w:eastAsia="仿宋_GB2312"/>
                <w:color w:val="auto"/>
                <w:szCs w:val="21"/>
                <w:highlight w:val="none"/>
              </w:rPr>
              <w:t>需方（公章）：</w:t>
            </w:r>
          </w:p>
        </w:tc>
        <w:tc>
          <w:tcPr>
            <w:tcW w:w="4196" w:type="dxa"/>
          </w:tcPr>
          <w:p>
            <w:pPr>
              <w:spacing w:line="520" w:lineRule="exact"/>
              <w:jc w:val="left"/>
              <w:outlineLvl w:val="0"/>
              <w:rPr>
                <w:rFonts w:ascii="仿宋_GB2312" w:eastAsia="仿宋_GB2312"/>
                <w:b/>
                <w:color w:val="auto"/>
                <w:szCs w:val="21"/>
                <w:highlight w:val="none"/>
              </w:rPr>
            </w:pPr>
            <w:r>
              <w:rPr>
                <w:rFonts w:hint="eastAsia" w:ascii="仿宋_GB2312" w:eastAsia="仿宋_GB2312"/>
                <w:color w:val="auto"/>
                <w:szCs w:val="21"/>
                <w:highlight w:val="none"/>
              </w:rPr>
              <w:t>供方(公章)：</w:t>
            </w:r>
          </w:p>
        </w:tc>
      </w:tr>
      <w:tr>
        <w:tblPrEx>
          <w:tblCellMar>
            <w:top w:w="0" w:type="dxa"/>
            <w:left w:w="108" w:type="dxa"/>
            <w:bottom w:w="0" w:type="dxa"/>
            <w:right w:w="108" w:type="dxa"/>
          </w:tblCellMar>
        </w:tblPrEx>
        <w:trPr>
          <w:jc w:val="center"/>
        </w:trPr>
        <w:tc>
          <w:tcPr>
            <w:tcW w:w="4167" w:type="dxa"/>
          </w:tcPr>
          <w:p>
            <w:pPr>
              <w:spacing w:line="520" w:lineRule="exact"/>
              <w:jc w:val="left"/>
              <w:outlineLvl w:val="0"/>
              <w:rPr>
                <w:rFonts w:ascii="仿宋_GB2312" w:eastAsia="仿宋_GB2312"/>
                <w:b/>
                <w:color w:val="auto"/>
                <w:szCs w:val="21"/>
                <w:highlight w:val="none"/>
              </w:rPr>
            </w:pPr>
          </w:p>
        </w:tc>
        <w:tc>
          <w:tcPr>
            <w:tcW w:w="4196" w:type="dxa"/>
          </w:tcPr>
          <w:p>
            <w:pPr>
              <w:spacing w:line="520" w:lineRule="exact"/>
              <w:jc w:val="left"/>
              <w:outlineLvl w:val="0"/>
              <w:rPr>
                <w:rFonts w:ascii="仿宋_GB2312" w:eastAsia="仿宋_GB2312"/>
                <w:b/>
                <w:color w:val="auto"/>
                <w:szCs w:val="21"/>
                <w:highlight w:val="none"/>
              </w:rPr>
            </w:pPr>
          </w:p>
        </w:tc>
      </w:tr>
      <w:tr>
        <w:trPr>
          <w:jc w:val="center"/>
        </w:trPr>
        <w:tc>
          <w:tcPr>
            <w:tcW w:w="4167" w:type="dxa"/>
          </w:tcPr>
          <w:p>
            <w:pPr>
              <w:spacing w:line="520" w:lineRule="exact"/>
              <w:jc w:val="left"/>
              <w:outlineLvl w:val="0"/>
              <w:rPr>
                <w:rFonts w:ascii="仿宋_GB2312" w:eastAsia="仿宋_GB2312"/>
                <w:b/>
                <w:color w:val="auto"/>
                <w:szCs w:val="21"/>
                <w:highlight w:val="none"/>
              </w:rPr>
            </w:pPr>
            <w:r>
              <w:rPr>
                <w:rFonts w:hint="eastAsia" w:ascii="仿宋_GB2312" w:eastAsia="仿宋_GB2312"/>
                <w:color w:val="auto"/>
                <w:szCs w:val="21"/>
                <w:highlight w:val="none"/>
              </w:rPr>
              <w:t>法定代表人或授权代表(签字)：</w:t>
            </w:r>
          </w:p>
        </w:tc>
        <w:tc>
          <w:tcPr>
            <w:tcW w:w="4196" w:type="dxa"/>
          </w:tcPr>
          <w:p>
            <w:pPr>
              <w:spacing w:line="520" w:lineRule="exact"/>
              <w:jc w:val="left"/>
              <w:outlineLvl w:val="0"/>
              <w:rPr>
                <w:rFonts w:ascii="仿宋_GB2312" w:eastAsia="仿宋_GB2312"/>
                <w:b/>
                <w:color w:val="auto"/>
                <w:szCs w:val="21"/>
                <w:highlight w:val="none"/>
              </w:rPr>
            </w:pPr>
            <w:r>
              <w:rPr>
                <w:rFonts w:hint="eastAsia" w:ascii="仿宋_GB2312" w:eastAsia="仿宋_GB2312"/>
                <w:color w:val="auto"/>
                <w:szCs w:val="21"/>
                <w:highlight w:val="none"/>
              </w:rPr>
              <w:t>法定代表人或授权代表(签字)：</w:t>
            </w:r>
          </w:p>
        </w:tc>
      </w:tr>
      <w:tr>
        <w:tblPrEx>
          <w:tblCellMar>
            <w:top w:w="0" w:type="dxa"/>
            <w:left w:w="108" w:type="dxa"/>
            <w:bottom w:w="0" w:type="dxa"/>
            <w:right w:w="108" w:type="dxa"/>
          </w:tblCellMar>
        </w:tblPrEx>
        <w:trPr>
          <w:jc w:val="center"/>
        </w:trPr>
        <w:tc>
          <w:tcPr>
            <w:tcW w:w="4167" w:type="dxa"/>
          </w:tcPr>
          <w:p>
            <w:pPr>
              <w:spacing w:line="520" w:lineRule="exact"/>
              <w:jc w:val="left"/>
              <w:outlineLvl w:val="0"/>
              <w:rPr>
                <w:rFonts w:ascii="仿宋_GB2312" w:eastAsia="仿宋_GB2312"/>
                <w:b/>
                <w:color w:val="auto"/>
                <w:szCs w:val="21"/>
                <w:highlight w:val="none"/>
              </w:rPr>
            </w:pPr>
          </w:p>
        </w:tc>
        <w:tc>
          <w:tcPr>
            <w:tcW w:w="4196" w:type="dxa"/>
          </w:tcPr>
          <w:p>
            <w:pPr>
              <w:spacing w:line="520" w:lineRule="exact"/>
              <w:jc w:val="left"/>
              <w:outlineLvl w:val="0"/>
              <w:rPr>
                <w:rFonts w:ascii="仿宋_GB2312" w:eastAsia="仿宋_GB2312"/>
                <w:b/>
                <w:color w:val="auto"/>
                <w:szCs w:val="21"/>
                <w:highlight w:val="none"/>
              </w:rPr>
            </w:pPr>
          </w:p>
        </w:tc>
      </w:tr>
      <w:tr>
        <w:tblPrEx>
          <w:tblCellMar>
            <w:top w:w="0" w:type="dxa"/>
            <w:left w:w="108" w:type="dxa"/>
            <w:bottom w:w="0" w:type="dxa"/>
            <w:right w:w="108" w:type="dxa"/>
          </w:tblCellMar>
        </w:tblPrEx>
        <w:trPr>
          <w:jc w:val="center"/>
        </w:trPr>
        <w:tc>
          <w:tcPr>
            <w:tcW w:w="4167" w:type="dxa"/>
          </w:tcPr>
          <w:p>
            <w:pPr>
              <w:spacing w:line="520" w:lineRule="exact"/>
              <w:jc w:val="left"/>
              <w:outlineLvl w:val="0"/>
              <w:rPr>
                <w:rFonts w:ascii="仿宋_GB2312" w:eastAsia="仿宋_GB2312"/>
                <w:b/>
                <w:color w:val="auto"/>
                <w:szCs w:val="21"/>
                <w:highlight w:val="none"/>
              </w:rPr>
            </w:pPr>
            <w:r>
              <w:rPr>
                <w:rFonts w:hint="eastAsia" w:ascii="仿宋_GB2312" w:eastAsia="仿宋_GB2312" w:cs="Lucida Sans Unicode"/>
                <w:color w:val="auto"/>
                <w:szCs w:val="21"/>
                <w:highlight w:val="none"/>
              </w:rPr>
              <w:t>地  址：</w:t>
            </w:r>
            <w:r>
              <w:rPr>
                <w:rFonts w:hint="eastAsia" w:ascii="仿宋_GB2312" w:eastAsia="仿宋_GB2312" w:cs="Lucida Sans Unicode"/>
                <w:color w:val="auto"/>
                <w:spacing w:val="-10"/>
                <w:szCs w:val="21"/>
                <w:highlight w:val="none"/>
                <w:u w:val="single"/>
              </w:rPr>
              <w:t>沈阳市浑南区浑南中路25号</w:t>
            </w:r>
          </w:p>
        </w:tc>
        <w:tc>
          <w:tcPr>
            <w:tcW w:w="4196" w:type="dxa"/>
          </w:tcPr>
          <w:p>
            <w:pPr>
              <w:spacing w:line="520" w:lineRule="exact"/>
              <w:jc w:val="left"/>
              <w:outlineLvl w:val="0"/>
              <w:rPr>
                <w:rFonts w:ascii="仿宋_GB2312" w:eastAsia="仿宋_GB2312"/>
                <w:b/>
                <w:color w:val="auto"/>
                <w:szCs w:val="21"/>
                <w:highlight w:val="none"/>
              </w:rPr>
            </w:pPr>
            <w:r>
              <w:rPr>
                <w:rFonts w:hint="eastAsia" w:ascii="仿宋_GB2312" w:eastAsia="仿宋_GB2312" w:cs="Lucida Sans Unicode"/>
                <w:color w:val="auto"/>
                <w:szCs w:val="21"/>
                <w:highlight w:val="none"/>
              </w:rPr>
              <w:t>地  址：</w:t>
            </w:r>
          </w:p>
        </w:tc>
      </w:tr>
      <w:tr>
        <w:tblPrEx>
          <w:tblCellMar>
            <w:top w:w="0" w:type="dxa"/>
            <w:left w:w="108" w:type="dxa"/>
            <w:bottom w:w="0" w:type="dxa"/>
            <w:right w:w="108" w:type="dxa"/>
          </w:tblCellMar>
        </w:tblPrEx>
        <w:trPr>
          <w:jc w:val="center"/>
        </w:trPr>
        <w:tc>
          <w:tcPr>
            <w:tcW w:w="4167" w:type="dxa"/>
          </w:tcPr>
          <w:p>
            <w:pPr>
              <w:spacing w:line="520" w:lineRule="exact"/>
              <w:rPr>
                <w:rFonts w:ascii="仿宋_GB2312" w:eastAsia="仿宋_GB2312" w:cs="Lucida Sans Unicode"/>
                <w:color w:val="auto"/>
                <w:szCs w:val="21"/>
                <w:highlight w:val="none"/>
              </w:rPr>
            </w:pPr>
            <w:r>
              <w:rPr>
                <w:rFonts w:hint="eastAsia" w:ascii="仿宋_GB2312" w:eastAsia="仿宋_GB2312" w:cs="Lucida Sans Unicode"/>
                <w:color w:val="auto"/>
                <w:szCs w:val="21"/>
                <w:highlight w:val="none"/>
              </w:rPr>
              <w:t>联系人：</w:t>
            </w:r>
          </w:p>
        </w:tc>
        <w:tc>
          <w:tcPr>
            <w:tcW w:w="4196" w:type="dxa"/>
          </w:tcPr>
          <w:p>
            <w:pPr>
              <w:spacing w:line="520" w:lineRule="exact"/>
              <w:rPr>
                <w:rFonts w:ascii="仿宋_GB2312" w:eastAsia="仿宋_GB2312" w:cs="Lucida Sans Unicode"/>
                <w:color w:val="auto"/>
                <w:szCs w:val="21"/>
                <w:highlight w:val="none"/>
              </w:rPr>
            </w:pPr>
            <w:r>
              <w:rPr>
                <w:rFonts w:hint="eastAsia" w:ascii="仿宋_GB2312" w:eastAsia="仿宋_GB2312" w:cs="Lucida Sans Unicode"/>
                <w:color w:val="auto"/>
                <w:szCs w:val="21"/>
                <w:highlight w:val="none"/>
              </w:rPr>
              <w:t>联系人：</w:t>
            </w:r>
          </w:p>
        </w:tc>
      </w:tr>
      <w:tr>
        <w:trPr>
          <w:jc w:val="center"/>
        </w:trPr>
        <w:tc>
          <w:tcPr>
            <w:tcW w:w="4167" w:type="dxa"/>
          </w:tcPr>
          <w:p>
            <w:pPr>
              <w:spacing w:line="520" w:lineRule="exact"/>
              <w:jc w:val="left"/>
              <w:outlineLvl w:val="0"/>
              <w:rPr>
                <w:rFonts w:ascii="仿宋_GB2312" w:eastAsia="仿宋_GB2312" w:cs="Lucida Sans Unicode"/>
                <w:color w:val="auto"/>
                <w:szCs w:val="21"/>
                <w:highlight w:val="none"/>
              </w:rPr>
            </w:pPr>
            <w:r>
              <w:rPr>
                <w:rFonts w:hint="eastAsia" w:ascii="仿宋_GB2312" w:eastAsia="仿宋_GB2312" w:cs="Lucida Sans Unicode"/>
                <w:color w:val="auto"/>
                <w:szCs w:val="21"/>
                <w:highlight w:val="none"/>
              </w:rPr>
              <w:t>电  话：</w:t>
            </w:r>
          </w:p>
        </w:tc>
        <w:tc>
          <w:tcPr>
            <w:tcW w:w="4196" w:type="dxa"/>
          </w:tcPr>
          <w:p>
            <w:pPr>
              <w:spacing w:line="520" w:lineRule="exact"/>
              <w:jc w:val="left"/>
              <w:outlineLvl w:val="0"/>
              <w:rPr>
                <w:rFonts w:ascii="仿宋_GB2312" w:eastAsia="仿宋_GB2312" w:cs="Lucida Sans Unicode"/>
                <w:color w:val="auto"/>
                <w:szCs w:val="21"/>
                <w:highlight w:val="none"/>
              </w:rPr>
            </w:pPr>
            <w:r>
              <w:rPr>
                <w:rFonts w:hint="eastAsia" w:ascii="仿宋_GB2312" w:eastAsia="仿宋_GB2312" w:cs="Lucida Sans Unicode"/>
                <w:color w:val="auto"/>
                <w:szCs w:val="21"/>
                <w:highlight w:val="none"/>
              </w:rPr>
              <w:t>电  话：</w:t>
            </w:r>
          </w:p>
        </w:tc>
      </w:tr>
      <w:tr>
        <w:tblPrEx>
          <w:tblCellMar>
            <w:top w:w="0" w:type="dxa"/>
            <w:left w:w="108" w:type="dxa"/>
            <w:bottom w:w="0" w:type="dxa"/>
            <w:right w:w="108" w:type="dxa"/>
          </w:tblCellMar>
        </w:tblPrEx>
        <w:trPr>
          <w:jc w:val="center"/>
        </w:trPr>
        <w:tc>
          <w:tcPr>
            <w:tcW w:w="4167" w:type="dxa"/>
          </w:tcPr>
          <w:p>
            <w:pPr>
              <w:spacing w:line="520" w:lineRule="exact"/>
              <w:jc w:val="left"/>
              <w:outlineLvl w:val="0"/>
              <w:rPr>
                <w:rFonts w:ascii="仿宋_GB2312" w:eastAsia="仿宋_GB2312" w:cs="Lucida Sans Unicode"/>
                <w:color w:val="auto"/>
                <w:szCs w:val="21"/>
                <w:highlight w:val="none"/>
              </w:rPr>
            </w:pPr>
            <w:r>
              <w:rPr>
                <w:rFonts w:hint="eastAsia" w:ascii="仿宋_GB2312" w:eastAsia="仿宋_GB2312" w:cs="Lucida Sans Unicode"/>
                <w:color w:val="auto"/>
                <w:szCs w:val="21"/>
                <w:highlight w:val="none"/>
              </w:rPr>
              <w:t>传  真：</w:t>
            </w:r>
          </w:p>
        </w:tc>
        <w:tc>
          <w:tcPr>
            <w:tcW w:w="4196" w:type="dxa"/>
          </w:tcPr>
          <w:p>
            <w:pPr>
              <w:spacing w:line="520" w:lineRule="exact"/>
              <w:jc w:val="left"/>
              <w:outlineLvl w:val="0"/>
              <w:rPr>
                <w:rFonts w:ascii="仿宋_GB2312" w:eastAsia="仿宋_GB2312" w:cs="Lucida Sans Unicode"/>
                <w:color w:val="auto"/>
                <w:szCs w:val="21"/>
                <w:highlight w:val="none"/>
              </w:rPr>
            </w:pPr>
            <w:r>
              <w:rPr>
                <w:rFonts w:hint="eastAsia" w:ascii="仿宋_GB2312" w:eastAsia="仿宋_GB2312" w:cs="Lucida Sans Unicode"/>
                <w:color w:val="auto"/>
                <w:szCs w:val="21"/>
                <w:highlight w:val="none"/>
              </w:rPr>
              <w:t>传  真：</w:t>
            </w:r>
          </w:p>
        </w:tc>
      </w:tr>
      <w:tr>
        <w:tblPrEx>
          <w:tblCellMar>
            <w:top w:w="0" w:type="dxa"/>
            <w:left w:w="108" w:type="dxa"/>
            <w:bottom w:w="0" w:type="dxa"/>
            <w:right w:w="108" w:type="dxa"/>
          </w:tblCellMar>
        </w:tblPrEx>
        <w:trPr>
          <w:jc w:val="center"/>
        </w:trPr>
        <w:tc>
          <w:tcPr>
            <w:tcW w:w="4167" w:type="dxa"/>
          </w:tcPr>
          <w:p>
            <w:pPr>
              <w:spacing w:line="520" w:lineRule="exact"/>
              <w:jc w:val="left"/>
              <w:outlineLvl w:val="0"/>
              <w:rPr>
                <w:rFonts w:ascii="仿宋_GB2312" w:eastAsia="仿宋_GB2312" w:cs="Lucida Sans Unicode"/>
                <w:color w:val="auto"/>
                <w:szCs w:val="21"/>
                <w:highlight w:val="none"/>
              </w:rPr>
            </w:pPr>
            <w:r>
              <w:rPr>
                <w:rFonts w:hint="eastAsia" w:ascii="仿宋_GB2312" w:eastAsia="仿宋_GB2312"/>
                <w:color w:val="auto"/>
                <w:szCs w:val="21"/>
                <w:highlight w:val="none"/>
              </w:rPr>
              <w:t>开户行：</w:t>
            </w:r>
            <w:r>
              <w:rPr>
                <w:rFonts w:hint="eastAsia" w:ascii="仿宋_GB2312" w:eastAsia="仿宋_GB2312"/>
                <w:color w:val="auto"/>
                <w:szCs w:val="21"/>
                <w:highlight w:val="none"/>
                <w:u w:val="single"/>
              </w:rPr>
              <w:t xml:space="preserve">建行沈阳建筑大学支行  </w:t>
            </w:r>
          </w:p>
        </w:tc>
        <w:tc>
          <w:tcPr>
            <w:tcW w:w="4196" w:type="dxa"/>
          </w:tcPr>
          <w:p>
            <w:pPr>
              <w:spacing w:line="520" w:lineRule="exact"/>
              <w:jc w:val="left"/>
              <w:rPr>
                <w:rFonts w:ascii="仿宋_GB2312" w:eastAsia="仿宋_GB2312"/>
                <w:color w:val="auto"/>
                <w:szCs w:val="21"/>
                <w:highlight w:val="none"/>
                <w:u w:val="single"/>
              </w:rPr>
            </w:pPr>
            <w:r>
              <w:rPr>
                <w:rFonts w:hint="eastAsia" w:ascii="仿宋_GB2312" w:eastAsia="仿宋_GB2312"/>
                <w:color w:val="auto"/>
                <w:szCs w:val="21"/>
                <w:highlight w:val="none"/>
              </w:rPr>
              <w:t>开户行：</w:t>
            </w:r>
          </w:p>
        </w:tc>
      </w:tr>
      <w:tr>
        <w:tblPrEx>
          <w:tblCellMar>
            <w:top w:w="0" w:type="dxa"/>
            <w:left w:w="108" w:type="dxa"/>
            <w:bottom w:w="0" w:type="dxa"/>
            <w:right w:w="108" w:type="dxa"/>
          </w:tblCellMar>
        </w:tblPrEx>
        <w:trPr>
          <w:jc w:val="center"/>
        </w:trPr>
        <w:tc>
          <w:tcPr>
            <w:tcW w:w="4167" w:type="dxa"/>
          </w:tcPr>
          <w:p>
            <w:pPr>
              <w:spacing w:line="520" w:lineRule="exact"/>
              <w:jc w:val="left"/>
              <w:outlineLvl w:val="0"/>
              <w:rPr>
                <w:rFonts w:ascii="仿宋_GB2312" w:eastAsia="仿宋_GB2312" w:cs="Lucida Sans Unicode"/>
                <w:color w:val="auto"/>
                <w:szCs w:val="21"/>
                <w:highlight w:val="none"/>
              </w:rPr>
            </w:pPr>
            <w:r>
              <w:rPr>
                <w:rFonts w:hint="eastAsia" w:ascii="仿宋_GB2312" w:eastAsia="仿宋_GB2312"/>
                <w:color w:val="auto"/>
                <w:szCs w:val="21"/>
                <w:highlight w:val="none"/>
              </w:rPr>
              <w:t>账  号：</w:t>
            </w:r>
            <w:r>
              <w:rPr>
                <w:rFonts w:hint="eastAsia" w:ascii="仿宋_GB2312" w:eastAsia="仿宋_GB2312"/>
                <w:color w:val="auto"/>
                <w:szCs w:val="21"/>
                <w:highlight w:val="none"/>
                <w:u w:val="single"/>
              </w:rPr>
              <w:t>21001480008059200098</w:t>
            </w:r>
          </w:p>
        </w:tc>
        <w:tc>
          <w:tcPr>
            <w:tcW w:w="4196" w:type="dxa"/>
          </w:tcPr>
          <w:p>
            <w:pPr>
              <w:spacing w:line="520" w:lineRule="exact"/>
              <w:rPr>
                <w:rFonts w:ascii="仿宋_GB2312" w:eastAsia="仿宋_GB2312"/>
                <w:color w:val="auto"/>
                <w:szCs w:val="21"/>
                <w:highlight w:val="none"/>
                <w:u w:val="single"/>
              </w:rPr>
            </w:pPr>
            <w:r>
              <w:rPr>
                <w:rFonts w:hint="eastAsia" w:ascii="仿宋_GB2312" w:eastAsia="仿宋_GB2312"/>
                <w:color w:val="auto"/>
                <w:szCs w:val="21"/>
                <w:highlight w:val="none"/>
              </w:rPr>
              <w:t>账  号：</w:t>
            </w:r>
          </w:p>
        </w:tc>
      </w:tr>
      <w:tr>
        <w:trPr>
          <w:jc w:val="center"/>
        </w:trPr>
        <w:tc>
          <w:tcPr>
            <w:tcW w:w="4167" w:type="dxa"/>
          </w:tcPr>
          <w:p>
            <w:pPr>
              <w:spacing w:line="520" w:lineRule="exact"/>
              <w:rPr>
                <w:rFonts w:ascii="仿宋_GB2312" w:eastAsia="仿宋_GB2312" w:cs="Lucida Sans Unicode"/>
                <w:color w:val="auto"/>
                <w:spacing w:val="-10"/>
                <w:szCs w:val="21"/>
                <w:highlight w:val="none"/>
              </w:rPr>
            </w:pPr>
            <w:r>
              <w:rPr>
                <w:rFonts w:hint="eastAsia" w:ascii="仿宋_GB2312" w:eastAsia="仿宋_GB2312"/>
                <w:color w:val="auto"/>
                <w:spacing w:val="-10"/>
                <w:szCs w:val="21"/>
                <w:highlight w:val="none"/>
              </w:rPr>
              <w:t>纳税人识别号：</w:t>
            </w:r>
            <w:r>
              <w:rPr>
                <w:rFonts w:hint="eastAsia" w:ascii="仿宋_GB2312" w:eastAsia="仿宋_GB2312"/>
                <w:color w:val="auto"/>
                <w:spacing w:val="-10"/>
                <w:szCs w:val="21"/>
                <w:highlight w:val="none"/>
                <w:u w:val="single"/>
              </w:rPr>
              <w:t>12210000463001421R</w:t>
            </w:r>
          </w:p>
        </w:tc>
        <w:tc>
          <w:tcPr>
            <w:tcW w:w="4196" w:type="dxa"/>
          </w:tcPr>
          <w:p>
            <w:pPr>
              <w:spacing w:line="520" w:lineRule="exact"/>
              <w:rPr>
                <w:rFonts w:ascii="仿宋_GB2312" w:eastAsia="仿宋_GB2312" w:cs="Lucida Sans Unicode"/>
                <w:color w:val="auto"/>
                <w:szCs w:val="21"/>
                <w:highlight w:val="none"/>
              </w:rPr>
            </w:pPr>
            <w:r>
              <w:rPr>
                <w:rFonts w:hint="eastAsia" w:ascii="仿宋_GB2312" w:eastAsia="仿宋_GB2312" w:cs="Lucida Sans Unicode"/>
                <w:color w:val="auto"/>
                <w:szCs w:val="21"/>
                <w:highlight w:val="none"/>
              </w:rPr>
              <w:t>邮  编：</w:t>
            </w:r>
          </w:p>
        </w:tc>
      </w:tr>
      <w:tr>
        <w:tblPrEx>
          <w:tblCellMar>
            <w:top w:w="0" w:type="dxa"/>
            <w:left w:w="108" w:type="dxa"/>
            <w:bottom w:w="0" w:type="dxa"/>
            <w:right w:w="108" w:type="dxa"/>
          </w:tblCellMar>
        </w:tblPrEx>
        <w:trPr>
          <w:jc w:val="center"/>
        </w:trPr>
        <w:tc>
          <w:tcPr>
            <w:tcW w:w="4167" w:type="dxa"/>
          </w:tcPr>
          <w:p>
            <w:pPr>
              <w:spacing w:line="520" w:lineRule="exact"/>
              <w:jc w:val="left"/>
              <w:outlineLvl w:val="0"/>
              <w:rPr>
                <w:rFonts w:ascii="仿宋_GB2312" w:eastAsia="仿宋_GB2312" w:cs="Lucida Sans Unicode"/>
                <w:color w:val="auto"/>
                <w:szCs w:val="21"/>
                <w:highlight w:val="none"/>
              </w:rPr>
            </w:pPr>
            <w:r>
              <w:rPr>
                <w:rFonts w:hint="eastAsia" w:ascii="仿宋_GB2312" w:eastAsia="仿宋_GB2312"/>
                <w:color w:val="auto"/>
                <w:szCs w:val="21"/>
                <w:highlight w:val="none"/>
              </w:rPr>
              <w:t>日  期：</w:t>
            </w:r>
            <w:r>
              <w:rPr>
                <w:rFonts w:hint="eastAsia" w:ascii="仿宋_GB2312" w:eastAsia="仿宋_GB2312"/>
                <w:color w:val="auto"/>
                <w:szCs w:val="21"/>
                <w:highlight w:val="none"/>
                <w:u w:val="single"/>
              </w:rPr>
              <w:t xml:space="preserve">     年    月    日</w:t>
            </w:r>
          </w:p>
        </w:tc>
        <w:tc>
          <w:tcPr>
            <w:tcW w:w="4196" w:type="dxa"/>
          </w:tcPr>
          <w:p>
            <w:pPr>
              <w:spacing w:line="520" w:lineRule="exact"/>
              <w:jc w:val="left"/>
              <w:outlineLvl w:val="0"/>
              <w:rPr>
                <w:rFonts w:ascii="仿宋_GB2312" w:eastAsia="仿宋_GB2312" w:cs="Lucida Sans Unicode"/>
                <w:color w:val="auto"/>
                <w:szCs w:val="21"/>
                <w:highlight w:val="none"/>
              </w:rPr>
            </w:pPr>
            <w:r>
              <w:rPr>
                <w:rFonts w:hint="eastAsia" w:ascii="仿宋_GB2312" w:eastAsia="仿宋_GB2312"/>
                <w:color w:val="auto"/>
                <w:szCs w:val="21"/>
                <w:highlight w:val="none"/>
              </w:rPr>
              <w:t>日  期：</w:t>
            </w:r>
            <w:r>
              <w:rPr>
                <w:rFonts w:hint="eastAsia" w:ascii="仿宋_GB2312" w:eastAsia="仿宋_GB2312"/>
                <w:color w:val="auto"/>
                <w:szCs w:val="21"/>
                <w:highlight w:val="none"/>
                <w:u w:val="single"/>
              </w:rPr>
              <w:t xml:space="preserve">     年    月    日</w:t>
            </w:r>
          </w:p>
        </w:tc>
      </w:tr>
    </w:tbl>
    <w:p>
      <w:pPr>
        <w:rPr>
          <w:rFonts w:ascii="仿宋_GB2312" w:hAnsi="仿宋_GB2312" w:eastAsia="仿宋_GB2312" w:cs="仿宋_GB2312"/>
          <w:color w:val="auto"/>
          <w:szCs w:val="21"/>
          <w:highlight w:val="none"/>
        </w:rPr>
      </w:pPr>
      <w:r>
        <w:rPr>
          <w:rFonts w:hint="eastAsia" w:ascii="仿宋" w:hAnsi="仿宋" w:cs="仿宋"/>
          <w:color w:val="auto"/>
          <w:szCs w:val="21"/>
          <w:highlight w:val="none"/>
        </w:rPr>
        <w:br w:type="page"/>
      </w:r>
      <w:r>
        <w:rPr>
          <w:rFonts w:hint="eastAsia" w:ascii="仿宋_GB2312" w:hAnsi="仿宋_GB2312" w:eastAsia="仿宋_GB2312" w:cs="仿宋_GB2312"/>
          <w:color w:val="auto"/>
          <w:szCs w:val="21"/>
          <w:highlight w:val="none"/>
        </w:rPr>
        <w:t>附件1：</w:t>
      </w:r>
    </w:p>
    <w:p>
      <w:pPr>
        <w:wordWrap w:val="0"/>
        <w:adjustRightInd w:val="0"/>
        <w:snapToGrid w:val="0"/>
        <w:spacing w:line="360" w:lineRule="auto"/>
        <w:jc w:val="center"/>
        <w:rPr>
          <w:rFonts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中标通知书</w:t>
      </w:r>
    </w:p>
    <w:p>
      <w:pPr>
        <w:jc w:val="left"/>
        <w:rPr>
          <w:rFonts w:ascii="仿宋_GB2312" w:hAnsi="仿宋_GB2312" w:eastAsia="仿宋_GB2312" w:cs="仿宋_GB2312"/>
          <w:color w:val="auto"/>
          <w:szCs w:val="21"/>
          <w:highlight w:val="none"/>
        </w:rPr>
      </w:pPr>
      <w:r>
        <w:rPr>
          <w:rFonts w:hint="eastAsia"/>
          <w:color w:val="auto"/>
          <w:highlight w:val="none"/>
        </w:rPr>
        <w:br w:type="page"/>
      </w:r>
      <w:r>
        <w:rPr>
          <w:rFonts w:hint="eastAsia" w:ascii="仿宋_GB2312" w:hAnsi="仿宋_GB2312" w:eastAsia="仿宋_GB2312" w:cs="仿宋_GB2312"/>
          <w:color w:val="auto"/>
          <w:szCs w:val="21"/>
          <w:highlight w:val="none"/>
        </w:rPr>
        <w:t>附件2：</w:t>
      </w:r>
    </w:p>
    <w:p>
      <w:pPr>
        <w:pStyle w:val="2"/>
        <w:ind w:firstLine="442"/>
        <w:jc w:val="center"/>
        <w:rPr>
          <w:rFonts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开标一览表</w:t>
      </w:r>
    </w:p>
    <w:p>
      <w:pPr>
        <w:pStyle w:val="2"/>
        <w:ind w:firstLine="0" w:firstLineChars="0"/>
        <w:rPr>
          <w:rFonts w:ascii="仿宋_GB2312" w:hAnsi="仿宋_GB2312" w:eastAsia="仿宋_GB2312" w:cs="仿宋_GB2312"/>
          <w:b/>
          <w:color w:val="auto"/>
          <w:sz w:val="44"/>
          <w:szCs w:val="44"/>
          <w:highlight w:val="none"/>
        </w:rPr>
      </w:pPr>
    </w:p>
    <w:p>
      <w:pPr>
        <w:pStyle w:val="2"/>
        <w:ind w:firstLine="0" w:firstLineChars="0"/>
        <w:rPr>
          <w:rFonts w:ascii="仿宋_GB2312" w:hAnsi="仿宋_GB2312" w:eastAsia="仿宋_GB2312" w:cs="仿宋_GB2312"/>
          <w:color w:val="auto"/>
          <w:highlight w:val="none"/>
        </w:rPr>
      </w:pPr>
      <w:r>
        <w:rPr>
          <w:rFonts w:hint="eastAsia" w:ascii="仿宋_GB2312" w:hAnsi="仿宋_GB2312" w:eastAsia="仿宋_GB2312" w:cs="仿宋_GB2312"/>
          <w:b/>
          <w:color w:val="auto"/>
          <w:sz w:val="44"/>
          <w:szCs w:val="44"/>
          <w:highlight w:val="none"/>
        </w:rPr>
        <w:br w:type="page"/>
      </w:r>
      <w:r>
        <w:rPr>
          <w:rFonts w:hint="eastAsia" w:ascii="仿宋_GB2312" w:hAnsi="仿宋_GB2312" w:eastAsia="仿宋_GB2312" w:cs="仿宋_GB2312"/>
          <w:color w:val="auto"/>
          <w:highlight w:val="none"/>
        </w:rPr>
        <w:t>附件3：</w:t>
      </w:r>
    </w:p>
    <w:p>
      <w:pPr>
        <w:pStyle w:val="2"/>
        <w:ind w:firstLine="0" w:firstLineChars="0"/>
        <w:jc w:val="center"/>
        <w:rPr>
          <w:rFonts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分项报价表</w:t>
      </w:r>
    </w:p>
    <w:p>
      <w:pPr>
        <w:pStyle w:val="2"/>
        <w:ind w:firstLine="0" w:firstLineChars="0"/>
        <w:rPr>
          <w:rFonts w:ascii="仿宋_GB2312" w:hAnsi="仿宋_GB2312" w:eastAsia="仿宋_GB2312" w:cs="仿宋_GB2312"/>
          <w:color w:val="auto"/>
          <w:highlight w:val="none"/>
        </w:rPr>
      </w:pPr>
      <w:r>
        <w:rPr>
          <w:rFonts w:hint="eastAsia" w:ascii="仿宋_GB2312" w:hAnsi="仿宋_GB2312" w:eastAsia="仿宋_GB2312" w:cs="仿宋_GB2312"/>
          <w:b/>
          <w:color w:val="auto"/>
          <w:sz w:val="44"/>
          <w:szCs w:val="44"/>
          <w:highlight w:val="none"/>
        </w:rPr>
        <w:br w:type="page"/>
      </w:r>
      <w:r>
        <w:rPr>
          <w:rFonts w:hint="eastAsia" w:ascii="仿宋_GB2312" w:hAnsi="仿宋_GB2312" w:eastAsia="仿宋_GB2312" w:cs="仿宋_GB2312"/>
          <w:color w:val="auto"/>
          <w:highlight w:val="none"/>
        </w:rPr>
        <w:t>附件4：</w:t>
      </w:r>
    </w:p>
    <w:p>
      <w:pPr>
        <w:pStyle w:val="2"/>
        <w:ind w:firstLine="0" w:firstLineChars="0"/>
        <w:jc w:val="center"/>
        <w:rPr>
          <w:rFonts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技术规格偏离表</w:t>
      </w:r>
    </w:p>
    <w:p>
      <w:pPr>
        <w:pStyle w:val="2"/>
        <w:ind w:firstLine="0" w:firstLineChars="0"/>
        <w:rPr>
          <w:rFonts w:ascii="仿宋_GB2312" w:hAnsi="仿宋_GB2312" w:eastAsia="仿宋_GB2312" w:cs="仿宋_GB2312"/>
          <w:color w:val="auto"/>
          <w:highlight w:val="none"/>
        </w:rPr>
      </w:pPr>
      <w:r>
        <w:rPr>
          <w:rFonts w:hint="eastAsia" w:ascii="Calibri" w:hAnsi="Calibri" w:eastAsia="宋体" w:cs="Times New Roman"/>
          <w:color w:val="auto"/>
          <w:highlight w:val="none"/>
        </w:rPr>
        <w:br w:type="page"/>
      </w:r>
      <w:r>
        <w:rPr>
          <w:rFonts w:hint="eastAsia" w:ascii="仿宋_GB2312" w:hAnsi="仿宋_GB2312" w:eastAsia="仿宋_GB2312" w:cs="仿宋_GB2312"/>
          <w:color w:val="auto"/>
          <w:highlight w:val="none"/>
        </w:rPr>
        <w:t>附件5：</w:t>
      </w:r>
    </w:p>
    <w:p>
      <w:pPr>
        <w:pStyle w:val="2"/>
        <w:ind w:firstLine="0" w:firstLineChars="0"/>
        <w:jc w:val="center"/>
        <w:rPr>
          <w:rFonts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商务条款偏离表</w:t>
      </w:r>
    </w:p>
    <w:p>
      <w:pPr>
        <w:pStyle w:val="2"/>
        <w:ind w:firstLine="0" w:firstLineChars="0"/>
        <w:rPr>
          <w:rFonts w:ascii="仿宋_GB2312" w:hAnsi="仿宋_GB2312" w:eastAsia="仿宋_GB2312" w:cs="仿宋_GB2312"/>
          <w:color w:val="auto"/>
          <w:highlight w:val="none"/>
        </w:rPr>
      </w:pPr>
      <w:r>
        <w:rPr>
          <w:rFonts w:hint="eastAsia"/>
          <w:color w:val="auto"/>
          <w:highlight w:val="none"/>
        </w:rPr>
        <w:br w:type="page"/>
      </w:r>
      <w:r>
        <w:rPr>
          <w:rFonts w:hint="eastAsia" w:ascii="仿宋_GB2312" w:hAnsi="仿宋_GB2312" w:eastAsia="仿宋_GB2312" w:cs="仿宋_GB2312"/>
          <w:color w:val="auto"/>
          <w:highlight w:val="none"/>
        </w:rPr>
        <w:t>附件6：</w:t>
      </w:r>
    </w:p>
    <w:p>
      <w:pPr>
        <w:pStyle w:val="2"/>
        <w:ind w:firstLine="0" w:firstLineChars="0"/>
        <w:jc w:val="center"/>
        <w:rPr>
          <w:rFonts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售后服务承诺书</w:t>
      </w:r>
    </w:p>
    <w:p>
      <w:pPr>
        <w:rPr>
          <w:color w:val="auto"/>
          <w:highlight w:val="none"/>
        </w:rPr>
      </w:pPr>
    </w:p>
    <w:p>
      <w:pPr>
        <w:wordWrap w:val="0"/>
        <w:adjustRightInd w:val="0"/>
        <w:snapToGrid w:val="0"/>
        <w:spacing w:line="360" w:lineRule="auto"/>
        <w:jc w:val="left"/>
        <w:rPr>
          <w:rFonts w:ascii="仿宋" w:hAnsi="仿宋" w:cs="仿宋"/>
          <w:color w:val="auto"/>
          <w:szCs w:val="21"/>
          <w:highlight w:val="none"/>
        </w:rPr>
      </w:pPr>
    </w:p>
    <w:p>
      <w:pPr>
        <w:wordWrap w:val="0"/>
        <w:adjustRightInd w:val="0"/>
        <w:snapToGrid w:val="0"/>
        <w:spacing w:line="360" w:lineRule="auto"/>
        <w:jc w:val="right"/>
        <w:rPr>
          <w:rFonts w:ascii="仿宋_GB2312" w:hAnsi="仿宋_GB2312" w:eastAsia="仿宋_GB2312" w:cs="仿宋_GB2312"/>
          <w:color w:val="auto"/>
          <w:szCs w:val="21"/>
          <w:highlight w:val="none"/>
        </w:rPr>
      </w:pPr>
    </w:p>
    <w:p>
      <w:pPr>
        <w:wordWrap w:val="0"/>
        <w:adjustRightInd w:val="0"/>
        <w:snapToGrid w:val="0"/>
        <w:spacing w:line="360" w:lineRule="auto"/>
        <w:jc w:val="right"/>
        <w:rPr>
          <w:rFonts w:ascii="仿宋_GB2312" w:hAnsi="仿宋_GB2312" w:eastAsia="仿宋_GB2312" w:cs="仿宋_GB2312"/>
          <w:color w:val="auto"/>
          <w:szCs w:val="21"/>
          <w:highlight w:val="none"/>
        </w:rPr>
      </w:pPr>
    </w:p>
    <w:sectPr>
      <w:footerReference r:id="rId6" w:type="default"/>
      <w:pgSz w:w="11906" w:h="16838"/>
      <w:pgMar w:top="1440" w:right="1803" w:bottom="1440" w:left="1803"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decorative"/>
    <w:pitch w:val="default"/>
    <w:sig w:usb0="00000000" w:usb1="00000000" w:usb2="00000000" w:usb3="00000000" w:csb0="80000000" w:csb1="00000000"/>
  </w:font>
  <w:font w:name="Lucida Sans Unicode">
    <w:panose1 w:val="020B0602030504020204"/>
    <w:charset w:val="00"/>
    <w:family w:val="swiss"/>
    <w:pitch w:val="default"/>
    <w:sig w:usb0="80001AFF" w:usb1="0000396B" w:usb2="00000000" w:usb3="00000000" w:csb0="200000BF" w:csb1="D7F7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800A4"/>
    <w:multiLevelType w:val="singleLevel"/>
    <w:tmpl w:val="8D7800A4"/>
    <w:lvl w:ilvl="0" w:tentative="0">
      <w:start w:val="1"/>
      <w:numFmt w:val="chineseCounting"/>
      <w:suff w:val="space"/>
      <w:lvlText w:val="第%1章"/>
      <w:lvlJc w:val="left"/>
      <w:rPr>
        <w:rFonts w:hint="eastAsia"/>
      </w:rPr>
    </w:lvl>
  </w:abstractNum>
  <w:abstractNum w:abstractNumId="1">
    <w:nsid w:val="A8A07041"/>
    <w:multiLevelType w:val="singleLevel"/>
    <w:tmpl w:val="A8A07041"/>
    <w:lvl w:ilvl="0" w:tentative="0">
      <w:start w:val="1"/>
      <w:numFmt w:val="decimal"/>
      <w:suff w:val="nothing"/>
      <w:lvlText w:val="%1、"/>
      <w:lvlJc w:val="left"/>
    </w:lvl>
  </w:abstractNum>
  <w:abstractNum w:abstractNumId="2">
    <w:nsid w:val="B4FDF470"/>
    <w:multiLevelType w:val="singleLevel"/>
    <w:tmpl w:val="B4FDF470"/>
    <w:lvl w:ilvl="0" w:tentative="0">
      <w:start w:val="1"/>
      <w:numFmt w:val="decimal"/>
      <w:suff w:val="nothing"/>
      <w:lvlText w:val="（%1）"/>
      <w:lvlJc w:val="left"/>
    </w:lvl>
  </w:abstractNum>
  <w:abstractNum w:abstractNumId="3">
    <w:nsid w:val="B9A1E8D1"/>
    <w:multiLevelType w:val="singleLevel"/>
    <w:tmpl w:val="B9A1E8D1"/>
    <w:lvl w:ilvl="0" w:tentative="0">
      <w:start w:val="1"/>
      <w:numFmt w:val="decimal"/>
      <w:suff w:val="nothing"/>
      <w:lvlText w:val="（%1）"/>
      <w:lvlJc w:val="left"/>
    </w:lvl>
  </w:abstractNum>
  <w:abstractNum w:abstractNumId="4">
    <w:nsid w:val="EE8E3184"/>
    <w:multiLevelType w:val="singleLevel"/>
    <w:tmpl w:val="EE8E3184"/>
    <w:lvl w:ilvl="0" w:tentative="0">
      <w:start w:val="1"/>
      <w:numFmt w:val="decimal"/>
      <w:suff w:val="nothing"/>
      <w:lvlText w:val="（%1）"/>
      <w:lvlJc w:val="left"/>
    </w:lvl>
  </w:abstractNum>
  <w:abstractNum w:abstractNumId="5">
    <w:nsid w:val="27E8E525"/>
    <w:multiLevelType w:val="singleLevel"/>
    <w:tmpl w:val="27E8E525"/>
    <w:lvl w:ilvl="0" w:tentative="0">
      <w:start w:val="1"/>
      <w:numFmt w:val="decimal"/>
      <w:suff w:val="nothing"/>
      <w:lvlText w:val="（%1）"/>
      <w:lvlJc w:val="left"/>
    </w:lvl>
  </w:abstractNum>
  <w:abstractNum w:abstractNumId="6">
    <w:nsid w:val="420C153B"/>
    <w:multiLevelType w:val="multilevel"/>
    <w:tmpl w:val="420C153B"/>
    <w:lvl w:ilvl="0" w:tentative="0">
      <w:start w:val="1"/>
      <w:numFmt w:val="decimal"/>
      <w:pStyle w:val="3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468ACDF8"/>
    <w:multiLevelType w:val="singleLevel"/>
    <w:tmpl w:val="468ACDF8"/>
    <w:lvl w:ilvl="0" w:tentative="0">
      <w:start w:val="2"/>
      <w:numFmt w:val="chineseCounting"/>
      <w:suff w:val="nothing"/>
      <w:lvlText w:val="（%1）"/>
      <w:lvlJc w:val="left"/>
      <w:rPr>
        <w:rFonts w:hint="eastAsia"/>
      </w:rPr>
    </w:lvl>
  </w:abstractNum>
  <w:abstractNum w:abstractNumId="8">
    <w:nsid w:val="723294D9"/>
    <w:multiLevelType w:val="singleLevel"/>
    <w:tmpl w:val="723294D9"/>
    <w:lvl w:ilvl="0" w:tentative="0">
      <w:start w:val="4"/>
      <w:numFmt w:val="decimal"/>
      <w:suff w:val="nothing"/>
      <w:lvlText w:val="%1、"/>
      <w:lvlJc w:val="left"/>
    </w:lvl>
  </w:abstractNum>
  <w:abstractNum w:abstractNumId="9">
    <w:nsid w:val="7242253F"/>
    <w:multiLevelType w:val="multilevel"/>
    <w:tmpl w:val="7242253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B4156D0"/>
    <w:multiLevelType w:val="singleLevel"/>
    <w:tmpl w:val="7B4156D0"/>
    <w:lvl w:ilvl="0" w:tentative="0">
      <w:start w:val="1"/>
      <w:numFmt w:val="decimal"/>
      <w:suff w:val="nothing"/>
      <w:lvlText w:val="（%1）"/>
      <w:lvlJc w:val="left"/>
    </w:lvl>
  </w:abstractNum>
  <w:num w:numId="1">
    <w:abstractNumId w:val="6"/>
  </w:num>
  <w:num w:numId="2">
    <w:abstractNumId w:val="8"/>
  </w:num>
  <w:num w:numId="3">
    <w:abstractNumId w:val="1"/>
  </w:num>
  <w:num w:numId="4">
    <w:abstractNumId w:val="0"/>
  </w:num>
  <w:num w:numId="5">
    <w:abstractNumId w:val="3"/>
  </w:num>
  <w:num w:numId="6">
    <w:abstractNumId w:val="2"/>
  </w:num>
  <w:num w:numId="7">
    <w:abstractNumId w:val="5"/>
  </w:num>
  <w:num w:numId="8">
    <w:abstractNumId w:val="4"/>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AB3B2B"/>
    <w:rsid w:val="00001D20"/>
    <w:rsid w:val="00004308"/>
    <w:rsid w:val="0000641B"/>
    <w:rsid w:val="00007440"/>
    <w:rsid w:val="00017AF4"/>
    <w:rsid w:val="00024251"/>
    <w:rsid w:val="000341B1"/>
    <w:rsid w:val="00051172"/>
    <w:rsid w:val="00056F1E"/>
    <w:rsid w:val="000577D5"/>
    <w:rsid w:val="00062FCE"/>
    <w:rsid w:val="000730A7"/>
    <w:rsid w:val="00080F44"/>
    <w:rsid w:val="00084D3F"/>
    <w:rsid w:val="00092BC6"/>
    <w:rsid w:val="000A696E"/>
    <w:rsid w:val="000B6FF4"/>
    <w:rsid w:val="000C3A16"/>
    <w:rsid w:val="000C45C0"/>
    <w:rsid w:val="000D2859"/>
    <w:rsid w:val="000D452F"/>
    <w:rsid w:val="000D76A0"/>
    <w:rsid w:val="000E0840"/>
    <w:rsid w:val="000E1F24"/>
    <w:rsid w:val="000E2E67"/>
    <w:rsid w:val="000E663A"/>
    <w:rsid w:val="000F0A3D"/>
    <w:rsid w:val="000F25D9"/>
    <w:rsid w:val="000F481F"/>
    <w:rsid w:val="001006F2"/>
    <w:rsid w:val="00101EB5"/>
    <w:rsid w:val="00102A03"/>
    <w:rsid w:val="00112D2F"/>
    <w:rsid w:val="0011622C"/>
    <w:rsid w:val="00125079"/>
    <w:rsid w:val="001366C0"/>
    <w:rsid w:val="00136CB1"/>
    <w:rsid w:val="00153E3D"/>
    <w:rsid w:val="00154309"/>
    <w:rsid w:val="001545B3"/>
    <w:rsid w:val="00163B9A"/>
    <w:rsid w:val="00165E92"/>
    <w:rsid w:val="00170000"/>
    <w:rsid w:val="001711BB"/>
    <w:rsid w:val="00171212"/>
    <w:rsid w:val="001764C6"/>
    <w:rsid w:val="001A10E9"/>
    <w:rsid w:val="001A2A1A"/>
    <w:rsid w:val="001B28CD"/>
    <w:rsid w:val="001C6199"/>
    <w:rsid w:val="001D6499"/>
    <w:rsid w:val="001E32C3"/>
    <w:rsid w:val="001E69F3"/>
    <w:rsid w:val="001F2B1F"/>
    <w:rsid w:val="00201D14"/>
    <w:rsid w:val="00212854"/>
    <w:rsid w:val="00221C67"/>
    <w:rsid w:val="002220C1"/>
    <w:rsid w:val="00223C9B"/>
    <w:rsid w:val="0022595D"/>
    <w:rsid w:val="00237843"/>
    <w:rsid w:val="002414CD"/>
    <w:rsid w:val="00250B65"/>
    <w:rsid w:val="00254A05"/>
    <w:rsid w:val="002567AB"/>
    <w:rsid w:val="00275045"/>
    <w:rsid w:val="002804B1"/>
    <w:rsid w:val="00285E04"/>
    <w:rsid w:val="00286C26"/>
    <w:rsid w:val="00291583"/>
    <w:rsid w:val="00297998"/>
    <w:rsid w:val="002A262E"/>
    <w:rsid w:val="002B2B54"/>
    <w:rsid w:val="002B5EC9"/>
    <w:rsid w:val="002C79A6"/>
    <w:rsid w:val="002D095A"/>
    <w:rsid w:val="002D401B"/>
    <w:rsid w:val="003000ED"/>
    <w:rsid w:val="00302A71"/>
    <w:rsid w:val="00311C28"/>
    <w:rsid w:val="003216E0"/>
    <w:rsid w:val="003226C4"/>
    <w:rsid w:val="00325A91"/>
    <w:rsid w:val="00333267"/>
    <w:rsid w:val="00333EA6"/>
    <w:rsid w:val="003424AD"/>
    <w:rsid w:val="00347384"/>
    <w:rsid w:val="00347D42"/>
    <w:rsid w:val="00356D43"/>
    <w:rsid w:val="00362E10"/>
    <w:rsid w:val="003879AD"/>
    <w:rsid w:val="00393C8D"/>
    <w:rsid w:val="00396190"/>
    <w:rsid w:val="003A0A83"/>
    <w:rsid w:val="003A0C5B"/>
    <w:rsid w:val="003B27E5"/>
    <w:rsid w:val="003B3DB5"/>
    <w:rsid w:val="003B3F78"/>
    <w:rsid w:val="003C2E8F"/>
    <w:rsid w:val="003C32AC"/>
    <w:rsid w:val="003C63A6"/>
    <w:rsid w:val="003C7F66"/>
    <w:rsid w:val="003D27FC"/>
    <w:rsid w:val="003E2902"/>
    <w:rsid w:val="003F310A"/>
    <w:rsid w:val="003F38B1"/>
    <w:rsid w:val="003F7D28"/>
    <w:rsid w:val="00403226"/>
    <w:rsid w:val="004109C1"/>
    <w:rsid w:val="0042221A"/>
    <w:rsid w:val="00425155"/>
    <w:rsid w:val="00426C65"/>
    <w:rsid w:val="00431DBA"/>
    <w:rsid w:val="00440750"/>
    <w:rsid w:val="00442823"/>
    <w:rsid w:val="0045483E"/>
    <w:rsid w:val="00460499"/>
    <w:rsid w:val="004645FD"/>
    <w:rsid w:val="00465DC4"/>
    <w:rsid w:val="0048013C"/>
    <w:rsid w:val="00481BAD"/>
    <w:rsid w:val="004838DC"/>
    <w:rsid w:val="00494952"/>
    <w:rsid w:val="00496012"/>
    <w:rsid w:val="0049745C"/>
    <w:rsid w:val="004974B3"/>
    <w:rsid w:val="004A1A92"/>
    <w:rsid w:val="004A1D8B"/>
    <w:rsid w:val="004B66F9"/>
    <w:rsid w:val="004B7178"/>
    <w:rsid w:val="004C5563"/>
    <w:rsid w:val="004C7ED4"/>
    <w:rsid w:val="004E34A1"/>
    <w:rsid w:val="004E3769"/>
    <w:rsid w:val="004E4BAC"/>
    <w:rsid w:val="004E63D0"/>
    <w:rsid w:val="005018C5"/>
    <w:rsid w:val="00502E90"/>
    <w:rsid w:val="0051099D"/>
    <w:rsid w:val="00510FD1"/>
    <w:rsid w:val="00513444"/>
    <w:rsid w:val="005227FD"/>
    <w:rsid w:val="005448AD"/>
    <w:rsid w:val="00552A48"/>
    <w:rsid w:val="0055604D"/>
    <w:rsid w:val="0055608C"/>
    <w:rsid w:val="0056074F"/>
    <w:rsid w:val="00566384"/>
    <w:rsid w:val="005756BA"/>
    <w:rsid w:val="00575A00"/>
    <w:rsid w:val="00575F8E"/>
    <w:rsid w:val="00577EC7"/>
    <w:rsid w:val="00581FD9"/>
    <w:rsid w:val="00584C97"/>
    <w:rsid w:val="00591C93"/>
    <w:rsid w:val="005A5EAD"/>
    <w:rsid w:val="005A6414"/>
    <w:rsid w:val="005B379D"/>
    <w:rsid w:val="005B5B01"/>
    <w:rsid w:val="005B7018"/>
    <w:rsid w:val="005C11FC"/>
    <w:rsid w:val="005D49FC"/>
    <w:rsid w:val="005D523F"/>
    <w:rsid w:val="005E4A02"/>
    <w:rsid w:val="005E5B8E"/>
    <w:rsid w:val="005F2452"/>
    <w:rsid w:val="005F3121"/>
    <w:rsid w:val="006023BE"/>
    <w:rsid w:val="006072BB"/>
    <w:rsid w:val="00613AD2"/>
    <w:rsid w:val="0062057B"/>
    <w:rsid w:val="0062157E"/>
    <w:rsid w:val="00624A3A"/>
    <w:rsid w:val="006279B9"/>
    <w:rsid w:val="006314BF"/>
    <w:rsid w:val="006316B4"/>
    <w:rsid w:val="00633CA8"/>
    <w:rsid w:val="00635F97"/>
    <w:rsid w:val="00636D14"/>
    <w:rsid w:val="00640136"/>
    <w:rsid w:val="0064074B"/>
    <w:rsid w:val="00642EAC"/>
    <w:rsid w:val="006546F2"/>
    <w:rsid w:val="00655012"/>
    <w:rsid w:val="00683ACB"/>
    <w:rsid w:val="00684C44"/>
    <w:rsid w:val="0069059A"/>
    <w:rsid w:val="0069767F"/>
    <w:rsid w:val="006B01FC"/>
    <w:rsid w:val="006C78CF"/>
    <w:rsid w:val="006D4E40"/>
    <w:rsid w:val="006D5B45"/>
    <w:rsid w:val="006D5B4F"/>
    <w:rsid w:val="006E008A"/>
    <w:rsid w:val="006E50F9"/>
    <w:rsid w:val="006F0B2C"/>
    <w:rsid w:val="006F5C69"/>
    <w:rsid w:val="007003DA"/>
    <w:rsid w:val="0070077B"/>
    <w:rsid w:val="00740EC9"/>
    <w:rsid w:val="00741475"/>
    <w:rsid w:val="0074349F"/>
    <w:rsid w:val="00764EE8"/>
    <w:rsid w:val="00770184"/>
    <w:rsid w:val="0077190A"/>
    <w:rsid w:val="0077672C"/>
    <w:rsid w:val="00784140"/>
    <w:rsid w:val="00784BE9"/>
    <w:rsid w:val="007B0709"/>
    <w:rsid w:val="007B47E1"/>
    <w:rsid w:val="007C2CCC"/>
    <w:rsid w:val="007D0A2A"/>
    <w:rsid w:val="007F14E4"/>
    <w:rsid w:val="007F1855"/>
    <w:rsid w:val="007F18A5"/>
    <w:rsid w:val="007F315A"/>
    <w:rsid w:val="007F5AA0"/>
    <w:rsid w:val="007F5AC9"/>
    <w:rsid w:val="007F774A"/>
    <w:rsid w:val="00803A51"/>
    <w:rsid w:val="00803D4E"/>
    <w:rsid w:val="00821620"/>
    <w:rsid w:val="008220F7"/>
    <w:rsid w:val="00824F2C"/>
    <w:rsid w:val="008444A0"/>
    <w:rsid w:val="0085543B"/>
    <w:rsid w:val="00856ADA"/>
    <w:rsid w:val="0087259C"/>
    <w:rsid w:val="00876A74"/>
    <w:rsid w:val="0088584C"/>
    <w:rsid w:val="00885FE6"/>
    <w:rsid w:val="0089292C"/>
    <w:rsid w:val="0089644B"/>
    <w:rsid w:val="008A07F8"/>
    <w:rsid w:val="008D1E72"/>
    <w:rsid w:val="008D297F"/>
    <w:rsid w:val="008D2B28"/>
    <w:rsid w:val="008D32DE"/>
    <w:rsid w:val="008D3F5A"/>
    <w:rsid w:val="008E1F6C"/>
    <w:rsid w:val="008E20CD"/>
    <w:rsid w:val="008E339D"/>
    <w:rsid w:val="008E37AC"/>
    <w:rsid w:val="008E5B7A"/>
    <w:rsid w:val="008F0085"/>
    <w:rsid w:val="008F249C"/>
    <w:rsid w:val="008F4A8F"/>
    <w:rsid w:val="008F4D10"/>
    <w:rsid w:val="008F6E80"/>
    <w:rsid w:val="008F7CA4"/>
    <w:rsid w:val="00900E6A"/>
    <w:rsid w:val="00931C17"/>
    <w:rsid w:val="00935B38"/>
    <w:rsid w:val="00936C49"/>
    <w:rsid w:val="00944572"/>
    <w:rsid w:val="00946992"/>
    <w:rsid w:val="0094701F"/>
    <w:rsid w:val="00953227"/>
    <w:rsid w:val="00966371"/>
    <w:rsid w:val="009740DF"/>
    <w:rsid w:val="0098744A"/>
    <w:rsid w:val="00987F43"/>
    <w:rsid w:val="00994CC8"/>
    <w:rsid w:val="009A3A1B"/>
    <w:rsid w:val="009A5F69"/>
    <w:rsid w:val="009A70BD"/>
    <w:rsid w:val="009B0238"/>
    <w:rsid w:val="009B70E2"/>
    <w:rsid w:val="009E0D22"/>
    <w:rsid w:val="009E428A"/>
    <w:rsid w:val="009F4690"/>
    <w:rsid w:val="00A05D3C"/>
    <w:rsid w:val="00A05FFB"/>
    <w:rsid w:val="00A1232C"/>
    <w:rsid w:val="00A155F7"/>
    <w:rsid w:val="00A20495"/>
    <w:rsid w:val="00A237C2"/>
    <w:rsid w:val="00A24998"/>
    <w:rsid w:val="00A2757B"/>
    <w:rsid w:val="00A27ED3"/>
    <w:rsid w:val="00A30936"/>
    <w:rsid w:val="00A3132D"/>
    <w:rsid w:val="00A32851"/>
    <w:rsid w:val="00A413A6"/>
    <w:rsid w:val="00A41C18"/>
    <w:rsid w:val="00A429CD"/>
    <w:rsid w:val="00A43577"/>
    <w:rsid w:val="00A43F0A"/>
    <w:rsid w:val="00A503B3"/>
    <w:rsid w:val="00A6193E"/>
    <w:rsid w:val="00A64C9B"/>
    <w:rsid w:val="00A82127"/>
    <w:rsid w:val="00A9778D"/>
    <w:rsid w:val="00AA1780"/>
    <w:rsid w:val="00AA4459"/>
    <w:rsid w:val="00AB297E"/>
    <w:rsid w:val="00AB51EF"/>
    <w:rsid w:val="00AC4735"/>
    <w:rsid w:val="00AC4F4E"/>
    <w:rsid w:val="00AD58F8"/>
    <w:rsid w:val="00AE6103"/>
    <w:rsid w:val="00AF4376"/>
    <w:rsid w:val="00AF702F"/>
    <w:rsid w:val="00B3365B"/>
    <w:rsid w:val="00B34597"/>
    <w:rsid w:val="00B34B5B"/>
    <w:rsid w:val="00B35BD1"/>
    <w:rsid w:val="00B36950"/>
    <w:rsid w:val="00B45EAC"/>
    <w:rsid w:val="00B47161"/>
    <w:rsid w:val="00B47A77"/>
    <w:rsid w:val="00B63443"/>
    <w:rsid w:val="00B67173"/>
    <w:rsid w:val="00B67E4E"/>
    <w:rsid w:val="00B73DD6"/>
    <w:rsid w:val="00B82712"/>
    <w:rsid w:val="00B9430A"/>
    <w:rsid w:val="00BA2FC7"/>
    <w:rsid w:val="00BA7264"/>
    <w:rsid w:val="00BA7453"/>
    <w:rsid w:val="00BB1D83"/>
    <w:rsid w:val="00BB241E"/>
    <w:rsid w:val="00BB3962"/>
    <w:rsid w:val="00BB5E97"/>
    <w:rsid w:val="00BB6AEE"/>
    <w:rsid w:val="00BB6B1A"/>
    <w:rsid w:val="00BC22DA"/>
    <w:rsid w:val="00BC428F"/>
    <w:rsid w:val="00BD03EB"/>
    <w:rsid w:val="00BF2574"/>
    <w:rsid w:val="00BF4409"/>
    <w:rsid w:val="00BF5725"/>
    <w:rsid w:val="00BF6D9B"/>
    <w:rsid w:val="00BF799C"/>
    <w:rsid w:val="00C00EC5"/>
    <w:rsid w:val="00C041B7"/>
    <w:rsid w:val="00C1275F"/>
    <w:rsid w:val="00C160E3"/>
    <w:rsid w:val="00C16AB5"/>
    <w:rsid w:val="00C25539"/>
    <w:rsid w:val="00C2639B"/>
    <w:rsid w:val="00C36D43"/>
    <w:rsid w:val="00C41D27"/>
    <w:rsid w:val="00C54C24"/>
    <w:rsid w:val="00C65295"/>
    <w:rsid w:val="00C66946"/>
    <w:rsid w:val="00C738BC"/>
    <w:rsid w:val="00C9111A"/>
    <w:rsid w:val="00C9148F"/>
    <w:rsid w:val="00CA7336"/>
    <w:rsid w:val="00CC7443"/>
    <w:rsid w:val="00CD1344"/>
    <w:rsid w:val="00CD600B"/>
    <w:rsid w:val="00CE7B1C"/>
    <w:rsid w:val="00CF06D6"/>
    <w:rsid w:val="00CF77F2"/>
    <w:rsid w:val="00D01EB5"/>
    <w:rsid w:val="00D12A0C"/>
    <w:rsid w:val="00D20DC8"/>
    <w:rsid w:val="00D249CE"/>
    <w:rsid w:val="00D31C69"/>
    <w:rsid w:val="00D33D22"/>
    <w:rsid w:val="00D34A65"/>
    <w:rsid w:val="00D411F2"/>
    <w:rsid w:val="00D4585E"/>
    <w:rsid w:val="00D519BD"/>
    <w:rsid w:val="00D52014"/>
    <w:rsid w:val="00D53ABB"/>
    <w:rsid w:val="00D602FB"/>
    <w:rsid w:val="00D60B11"/>
    <w:rsid w:val="00D70A03"/>
    <w:rsid w:val="00D81F13"/>
    <w:rsid w:val="00D8435D"/>
    <w:rsid w:val="00D87717"/>
    <w:rsid w:val="00D95734"/>
    <w:rsid w:val="00DA4744"/>
    <w:rsid w:val="00DA7DB5"/>
    <w:rsid w:val="00DB0A90"/>
    <w:rsid w:val="00DB100F"/>
    <w:rsid w:val="00DB10A5"/>
    <w:rsid w:val="00DB41F3"/>
    <w:rsid w:val="00DD084B"/>
    <w:rsid w:val="00DD0852"/>
    <w:rsid w:val="00DE76CC"/>
    <w:rsid w:val="00DF111D"/>
    <w:rsid w:val="00E01590"/>
    <w:rsid w:val="00E0524F"/>
    <w:rsid w:val="00E13885"/>
    <w:rsid w:val="00E174F6"/>
    <w:rsid w:val="00E37AF8"/>
    <w:rsid w:val="00E4425F"/>
    <w:rsid w:val="00E44C6B"/>
    <w:rsid w:val="00E467FC"/>
    <w:rsid w:val="00E512CF"/>
    <w:rsid w:val="00E576B5"/>
    <w:rsid w:val="00E83E68"/>
    <w:rsid w:val="00E96DA4"/>
    <w:rsid w:val="00EA6FE2"/>
    <w:rsid w:val="00EB5386"/>
    <w:rsid w:val="00EC4A8F"/>
    <w:rsid w:val="00ED617D"/>
    <w:rsid w:val="00EE66F9"/>
    <w:rsid w:val="00EE68FA"/>
    <w:rsid w:val="00EF29D6"/>
    <w:rsid w:val="00F05317"/>
    <w:rsid w:val="00F054E3"/>
    <w:rsid w:val="00F05EBD"/>
    <w:rsid w:val="00F12BEA"/>
    <w:rsid w:val="00F16439"/>
    <w:rsid w:val="00F16FF4"/>
    <w:rsid w:val="00F3061C"/>
    <w:rsid w:val="00F31388"/>
    <w:rsid w:val="00F35117"/>
    <w:rsid w:val="00F44C10"/>
    <w:rsid w:val="00F5200B"/>
    <w:rsid w:val="00F61503"/>
    <w:rsid w:val="00F64DEA"/>
    <w:rsid w:val="00F67C2D"/>
    <w:rsid w:val="00F7590E"/>
    <w:rsid w:val="00F75AD6"/>
    <w:rsid w:val="00F94824"/>
    <w:rsid w:val="00F95A7E"/>
    <w:rsid w:val="00FA4048"/>
    <w:rsid w:val="00FB3B84"/>
    <w:rsid w:val="00FC15F9"/>
    <w:rsid w:val="00FC3FDE"/>
    <w:rsid w:val="00FC6CD4"/>
    <w:rsid w:val="00FC7FD4"/>
    <w:rsid w:val="00FD57C2"/>
    <w:rsid w:val="00FE1DAE"/>
    <w:rsid w:val="00FF2C4E"/>
    <w:rsid w:val="00FF75E6"/>
    <w:rsid w:val="01007E42"/>
    <w:rsid w:val="01275D20"/>
    <w:rsid w:val="017734C4"/>
    <w:rsid w:val="01864D83"/>
    <w:rsid w:val="019A5532"/>
    <w:rsid w:val="01F376F8"/>
    <w:rsid w:val="029E7AD0"/>
    <w:rsid w:val="02A16E70"/>
    <w:rsid w:val="02F545EC"/>
    <w:rsid w:val="02FA30D3"/>
    <w:rsid w:val="03090322"/>
    <w:rsid w:val="032759B1"/>
    <w:rsid w:val="036F159C"/>
    <w:rsid w:val="03752A50"/>
    <w:rsid w:val="03A07AD7"/>
    <w:rsid w:val="03EC73DD"/>
    <w:rsid w:val="049D565A"/>
    <w:rsid w:val="04AC72EC"/>
    <w:rsid w:val="05190704"/>
    <w:rsid w:val="057B7AFF"/>
    <w:rsid w:val="0580226C"/>
    <w:rsid w:val="059B2E14"/>
    <w:rsid w:val="05A145C5"/>
    <w:rsid w:val="05A7477D"/>
    <w:rsid w:val="05AA531D"/>
    <w:rsid w:val="05CD3179"/>
    <w:rsid w:val="05D067D9"/>
    <w:rsid w:val="05FE190F"/>
    <w:rsid w:val="06306B73"/>
    <w:rsid w:val="06750C66"/>
    <w:rsid w:val="06DB7470"/>
    <w:rsid w:val="06EF58D3"/>
    <w:rsid w:val="07026F93"/>
    <w:rsid w:val="07116147"/>
    <w:rsid w:val="075E76FE"/>
    <w:rsid w:val="079B0BC0"/>
    <w:rsid w:val="07B34DB3"/>
    <w:rsid w:val="0855720F"/>
    <w:rsid w:val="085B4F44"/>
    <w:rsid w:val="088D5F5C"/>
    <w:rsid w:val="08A26242"/>
    <w:rsid w:val="08D62B31"/>
    <w:rsid w:val="091003F6"/>
    <w:rsid w:val="091C661C"/>
    <w:rsid w:val="0941245A"/>
    <w:rsid w:val="094C565A"/>
    <w:rsid w:val="096D5AA7"/>
    <w:rsid w:val="0997077C"/>
    <w:rsid w:val="09BC7504"/>
    <w:rsid w:val="09FD11BF"/>
    <w:rsid w:val="0A13499B"/>
    <w:rsid w:val="0A191F1E"/>
    <w:rsid w:val="0A260FC3"/>
    <w:rsid w:val="0A2B6A3F"/>
    <w:rsid w:val="0A3A54BD"/>
    <w:rsid w:val="0A643AC5"/>
    <w:rsid w:val="0AB823C4"/>
    <w:rsid w:val="0ACA4546"/>
    <w:rsid w:val="0ADA5F63"/>
    <w:rsid w:val="0ADF3155"/>
    <w:rsid w:val="0B14682F"/>
    <w:rsid w:val="0B825441"/>
    <w:rsid w:val="0BA525D8"/>
    <w:rsid w:val="0BD50CE3"/>
    <w:rsid w:val="0BEB77A2"/>
    <w:rsid w:val="0BF55B92"/>
    <w:rsid w:val="0C2F6006"/>
    <w:rsid w:val="0C426CB3"/>
    <w:rsid w:val="0C5056AF"/>
    <w:rsid w:val="0C5B37C6"/>
    <w:rsid w:val="0C602928"/>
    <w:rsid w:val="0C7B3503"/>
    <w:rsid w:val="0C8352C9"/>
    <w:rsid w:val="0C88726E"/>
    <w:rsid w:val="0CCB7B51"/>
    <w:rsid w:val="0CE866DD"/>
    <w:rsid w:val="0D416E49"/>
    <w:rsid w:val="0D5B2BA8"/>
    <w:rsid w:val="0D8F1B47"/>
    <w:rsid w:val="0DA0360B"/>
    <w:rsid w:val="0DA47700"/>
    <w:rsid w:val="0DB55C17"/>
    <w:rsid w:val="0DC134A7"/>
    <w:rsid w:val="0E4D03C4"/>
    <w:rsid w:val="0E512BF8"/>
    <w:rsid w:val="0EF37672"/>
    <w:rsid w:val="0EF46240"/>
    <w:rsid w:val="0F1964F3"/>
    <w:rsid w:val="0F465E03"/>
    <w:rsid w:val="0F5002B6"/>
    <w:rsid w:val="0F5C1D51"/>
    <w:rsid w:val="0F620FFF"/>
    <w:rsid w:val="0F681E22"/>
    <w:rsid w:val="0F6C20F8"/>
    <w:rsid w:val="0F9262E5"/>
    <w:rsid w:val="0FA56E06"/>
    <w:rsid w:val="0FEE60A0"/>
    <w:rsid w:val="1000028B"/>
    <w:rsid w:val="100B5B75"/>
    <w:rsid w:val="10390CED"/>
    <w:rsid w:val="105B23E4"/>
    <w:rsid w:val="10797991"/>
    <w:rsid w:val="108D7FEC"/>
    <w:rsid w:val="10C34A85"/>
    <w:rsid w:val="10EB0A61"/>
    <w:rsid w:val="10F96CD3"/>
    <w:rsid w:val="110662B7"/>
    <w:rsid w:val="110D477C"/>
    <w:rsid w:val="111125C9"/>
    <w:rsid w:val="11162C7E"/>
    <w:rsid w:val="11230728"/>
    <w:rsid w:val="114317C8"/>
    <w:rsid w:val="11504EEC"/>
    <w:rsid w:val="117E3EBF"/>
    <w:rsid w:val="11921F79"/>
    <w:rsid w:val="11A63895"/>
    <w:rsid w:val="11AA0E33"/>
    <w:rsid w:val="11BB02CD"/>
    <w:rsid w:val="11D465DE"/>
    <w:rsid w:val="11D85C9C"/>
    <w:rsid w:val="11DB026D"/>
    <w:rsid w:val="11F35E10"/>
    <w:rsid w:val="121E003E"/>
    <w:rsid w:val="123238F4"/>
    <w:rsid w:val="124E6914"/>
    <w:rsid w:val="128276A4"/>
    <w:rsid w:val="12871737"/>
    <w:rsid w:val="12B45137"/>
    <w:rsid w:val="12D84CD4"/>
    <w:rsid w:val="12F51579"/>
    <w:rsid w:val="12FD7CCA"/>
    <w:rsid w:val="13042B7A"/>
    <w:rsid w:val="13167841"/>
    <w:rsid w:val="131909C4"/>
    <w:rsid w:val="131F173F"/>
    <w:rsid w:val="131F2662"/>
    <w:rsid w:val="137139DD"/>
    <w:rsid w:val="138367BC"/>
    <w:rsid w:val="13B47F15"/>
    <w:rsid w:val="13C139AF"/>
    <w:rsid w:val="13E01C4A"/>
    <w:rsid w:val="14011AE1"/>
    <w:rsid w:val="14333776"/>
    <w:rsid w:val="144E16AB"/>
    <w:rsid w:val="144F6715"/>
    <w:rsid w:val="147A16BB"/>
    <w:rsid w:val="149C206F"/>
    <w:rsid w:val="14AA5797"/>
    <w:rsid w:val="154D743D"/>
    <w:rsid w:val="15667555"/>
    <w:rsid w:val="156D7194"/>
    <w:rsid w:val="158D492B"/>
    <w:rsid w:val="15A97268"/>
    <w:rsid w:val="15CF1DD7"/>
    <w:rsid w:val="15E224A7"/>
    <w:rsid w:val="16046E50"/>
    <w:rsid w:val="160C07B5"/>
    <w:rsid w:val="16150220"/>
    <w:rsid w:val="16397A1B"/>
    <w:rsid w:val="164342FA"/>
    <w:rsid w:val="165351E7"/>
    <w:rsid w:val="165770B0"/>
    <w:rsid w:val="16A22BEB"/>
    <w:rsid w:val="16CB645F"/>
    <w:rsid w:val="16E11B7C"/>
    <w:rsid w:val="171820A2"/>
    <w:rsid w:val="171877C6"/>
    <w:rsid w:val="172B7989"/>
    <w:rsid w:val="17571001"/>
    <w:rsid w:val="17647109"/>
    <w:rsid w:val="17707BBF"/>
    <w:rsid w:val="177572AC"/>
    <w:rsid w:val="17776970"/>
    <w:rsid w:val="179E6119"/>
    <w:rsid w:val="17BA1FA3"/>
    <w:rsid w:val="17CB05D4"/>
    <w:rsid w:val="17CF624F"/>
    <w:rsid w:val="181270D8"/>
    <w:rsid w:val="183A7AB3"/>
    <w:rsid w:val="18402742"/>
    <w:rsid w:val="185C4B83"/>
    <w:rsid w:val="18C80336"/>
    <w:rsid w:val="190C0B53"/>
    <w:rsid w:val="1953632C"/>
    <w:rsid w:val="19962C12"/>
    <w:rsid w:val="19AE3FA6"/>
    <w:rsid w:val="1AC3684A"/>
    <w:rsid w:val="1ACA77FB"/>
    <w:rsid w:val="1ACC5BF8"/>
    <w:rsid w:val="1AD774CB"/>
    <w:rsid w:val="1AE92FD5"/>
    <w:rsid w:val="1B1E67F8"/>
    <w:rsid w:val="1B200CF6"/>
    <w:rsid w:val="1B2A7529"/>
    <w:rsid w:val="1B390BDC"/>
    <w:rsid w:val="1B4E55E8"/>
    <w:rsid w:val="1B8E7170"/>
    <w:rsid w:val="1BBD111D"/>
    <w:rsid w:val="1BE0443F"/>
    <w:rsid w:val="1C3C4210"/>
    <w:rsid w:val="1C471722"/>
    <w:rsid w:val="1C5C588F"/>
    <w:rsid w:val="1C983F97"/>
    <w:rsid w:val="1CB1569A"/>
    <w:rsid w:val="1CB313F6"/>
    <w:rsid w:val="1CDE4933"/>
    <w:rsid w:val="1CEF0D6A"/>
    <w:rsid w:val="1CFB6B14"/>
    <w:rsid w:val="1CFE1E75"/>
    <w:rsid w:val="1D3C45B0"/>
    <w:rsid w:val="1D4028B0"/>
    <w:rsid w:val="1D613CFF"/>
    <w:rsid w:val="1E00462C"/>
    <w:rsid w:val="1E1C5E73"/>
    <w:rsid w:val="1E3D5BFF"/>
    <w:rsid w:val="1E3F5B0A"/>
    <w:rsid w:val="1E402DD2"/>
    <w:rsid w:val="1E462655"/>
    <w:rsid w:val="1E5B585E"/>
    <w:rsid w:val="1E6F5563"/>
    <w:rsid w:val="1E703E54"/>
    <w:rsid w:val="1EA0459D"/>
    <w:rsid w:val="1EA63468"/>
    <w:rsid w:val="1EB21D4C"/>
    <w:rsid w:val="1ECA056C"/>
    <w:rsid w:val="1ECC5D06"/>
    <w:rsid w:val="1ED42809"/>
    <w:rsid w:val="1EEF0477"/>
    <w:rsid w:val="1EF26162"/>
    <w:rsid w:val="1F12779C"/>
    <w:rsid w:val="1F6457D9"/>
    <w:rsid w:val="1F64740B"/>
    <w:rsid w:val="1F6A2CF4"/>
    <w:rsid w:val="1F9F2549"/>
    <w:rsid w:val="1FCC5382"/>
    <w:rsid w:val="1FD86B10"/>
    <w:rsid w:val="1FFD6FC8"/>
    <w:rsid w:val="201221D2"/>
    <w:rsid w:val="202279CC"/>
    <w:rsid w:val="20441B19"/>
    <w:rsid w:val="20663493"/>
    <w:rsid w:val="2069018D"/>
    <w:rsid w:val="2078256A"/>
    <w:rsid w:val="20795D91"/>
    <w:rsid w:val="20A0219D"/>
    <w:rsid w:val="20AB38D2"/>
    <w:rsid w:val="20B60991"/>
    <w:rsid w:val="20B87A68"/>
    <w:rsid w:val="20BF45FE"/>
    <w:rsid w:val="20C70459"/>
    <w:rsid w:val="2102069D"/>
    <w:rsid w:val="2106288F"/>
    <w:rsid w:val="21082292"/>
    <w:rsid w:val="21C9221A"/>
    <w:rsid w:val="22160B82"/>
    <w:rsid w:val="228952D6"/>
    <w:rsid w:val="2297314D"/>
    <w:rsid w:val="229F23A9"/>
    <w:rsid w:val="22A279E3"/>
    <w:rsid w:val="22BA2B41"/>
    <w:rsid w:val="22D26F9A"/>
    <w:rsid w:val="233C7E85"/>
    <w:rsid w:val="23AF69F1"/>
    <w:rsid w:val="23B12896"/>
    <w:rsid w:val="23CB0902"/>
    <w:rsid w:val="23E11A3F"/>
    <w:rsid w:val="23F316BB"/>
    <w:rsid w:val="24763848"/>
    <w:rsid w:val="247C12B5"/>
    <w:rsid w:val="24827E18"/>
    <w:rsid w:val="24963225"/>
    <w:rsid w:val="24C31569"/>
    <w:rsid w:val="24C9231F"/>
    <w:rsid w:val="24D52D8A"/>
    <w:rsid w:val="24F630BC"/>
    <w:rsid w:val="25377C12"/>
    <w:rsid w:val="25752CBA"/>
    <w:rsid w:val="25902E9C"/>
    <w:rsid w:val="259B4E9B"/>
    <w:rsid w:val="25B0273C"/>
    <w:rsid w:val="25D45C3E"/>
    <w:rsid w:val="25DD61F7"/>
    <w:rsid w:val="25E81861"/>
    <w:rsid w:val="26034EF6"/>
    <w:rsid w:val="260E6047"/>
    <w:rsid w:val="261B7BEE"/>
    <w:rsid w:val="26277E6B"/>
    <w:rsid w:val="263D5C2C"/>
    <w:rsid w:val="2682292E"/>
    <w:rsid w:val="26AF716B"/>
    <w:rsid w:val="26B57F3A"/>
    <w:rsid w:val="27126E5B"/>
    <w:rsid w:val="272B1ABB"/>
    <w:rsid w:val="27437FDF"/>
    <w:rsid w:val="275B4E31"/>
    <w:rsid w:val="276E7580"/>
    <w:rsid w:val="279E1806"/>
    <w:rsid w:val="279F27E3"/>
    <w:rsid w:val="27C40F6B"/>
    <w:rsid w:val="27E04EA0"/>
    <w:rsid w:val="28073099"/>
    <w:rsid w:val="281E11E4"/>
    <w:rsid w:val="288B14A9"/>
    <w:rsid w:val="28907C53"/>
    <w:rsid w:val="28B92147"/>
    <w:rsid w:val="28E318D4"/>
    <w:rsid w:val="293624BD"/>
    <w:rsid w:val="294D49C5"/>
    <w:rsid w:val="296231D6"/>
    <w:rsid w:val="29B616C2"/>
    <w:rsid w:val="29B71424"/>
    <w:rsid w:val="29BA0A21"/>
    <w:rsid w:val="29BB2399"/>
    <w:rsid w:val="2A19597B"/>
    <w:rsid w:val="2A23324E"/>
    <w:rsid w:val="2A6C2D68"/>
    <w:rsid w:val="2A6F0AFC"/>
    <w:rsid w:val="2A7439F6"/>
    <w:rsid w:val="2ACE0C31"/>
    <w:rsid w:val="2AFD4EC5"/>
    <w:rsid w:val="2AFF1738"/>
    <w:rsid w:val="2B046437"/>
    <w:rsid w:val="2B1B420B"/>
    <w:rsid w:val="2B376F2C"/>
    <w:rsid w:val="2B417276"/>
    <w:rsid w:val="2B5A5895"/>
    <w:rsid w:val="2B954A46"/>
    <w:rsid w:val="2C0F3559"/>
    <w:rsid w:val="2C765025"/>
    <w:rsid w:val="2C852F06"/>
    <w:rsid w:val="2C8E2AE6"/>
    <w:rsid w:val="2C981CCD"/>
    <w:rsid w:val="2C9F53AF"/>
    <w:rsid w:val="2CBA641B"/>
    <w:rsid w:val="2D040C32"/>
    <w:rsid w:val="2D0757A6"/>
    <w:rsid w:val="2D982E0B"/>
    <w:rsid w:val="2DB53B3B"/>
    <w:rsid w:val="2DCB5CD4"/>
    <w:rsid w:val="2DCC44FF"/>
    <w:rsid w:val="2E072654"/>
    <w:rsid w:val="2E3D32FC"/>
    <w:rsid w:val="2E5E1319"/>
    <w:rsid w:val="2E6F38EF"/>
    <w:rsid w:val="2EC24EAE"/>
    <w:rsid w:val="2F47109C"/>
    <w:rsid w:val="2F4B2213"/>
    <w:rsid w:val="2F757F47"/>
    <w:rsid w:val="2F8868AA"/>
    <w:rsid w:val="2F8B4DEA"/>
    <w:rsid w:val="2F9075F6"/>
    <w:rsid w:val="2F965A58"/>
    <w:rsid w:val="2F9A594D"/>
    <w:rsid w:val="2FF3519E"/>
    <w:rsid w:val="2FF60C04"/>
    <w:rsid w:val="30303517"/>
    <w:rsid w:val="307B4A76"/>
    <w:rsid w:val="308E13FA"/>
    <w:rsid w:val="311E4999"/>
    <w:rsid w:val="312573D2"/>
    <w:rsid w:val="31300A9C"/>
    <w:rsid w:val="313279B0"/>
    <w:rsid w:val="31785EB2"/>
    <w:rsid w:val="317F3D7D"/>
    <w:rsid w:val="31960D20"/>
    <w:rsid w:val="31A435DE"/>
    <w:rsid w:val="31A8748B"/>
    <w:rsid w:val="31AD6E8F"/>
    <w:rsid w:val="31CD0C24"/>
    <w:rsid w:val="31F0559B"/>
    <w:rsid w:val="31FF60CF"/>
    <w:rsid w:val="32085C36"/>
    <w:rsid w:val="322963D4"/>
    <w:rsid w:val="322E18C1"/>
    <w:rsid w:val="32490EF5"/>
    <w:rsid w:val="324E528F"/>
    <w:rsid w:val="32642296"/>
    <w:rsid w:val="326B085A"/>
    <w:rsid w:val="32A01606"/>
    <w:rsid w:val="32C94A9C"/>
    <w:rsid w:val="32D040EC"/>
    <w:rsid w:val="32D93D68"/>
    <w:rsid w:val="32E120A3"/>
    <w:rsid w:val="33092D4F"/>
    <w:rsid w:val="332D454F"/>
    <w:rsid w:val="33426DD3"/>
    <w:rsid w:val="334E1463"/>
    <w:rsid w:val="339165C1"/>
    <w:rsid w:val="33C85644"/>
    <w:rsid w:val="33F17FA2"/>
    <w:rsid w:val="34286B70"/>
    <w:rsid w:val="348E3F5F"/>
    <w:rsid w:val="34A07D70"/>
    <w:rsid w:val="34AE125F"/>
    <w:rsid w:val="34D84426"/>
    <w:rsid w:val="34D85063"/>
    <w:rsid w:val="35004E08"/>
    <w:rsid w:val="352548D7"/>
    <w:rsid w:val="352A70A8"/>
    <w:rsid w:val="359B5E22"/>
    <w:rsid w:val="359C1AAB"/>
    <w:rsid w:val="35A63D95"/>
    <w:rsid w:val="35AB3B2B"/>
    <w:rsid w:val="35B11597"/>
    <w:rsid w:val="35B27244"/>
    <w:rsid w:val="360B3E62"/>
    <w:rsid w:val="364970DE"/>
    <w:rsid w:val="364E1FAC"/>
    <w:rsid w:val="36503AF9"/>
    <w:rsid w:val="366C02C0"/>
    <w:rsid w:val="367F29FE"/>
    <w:rsid w:val="36C24DA9"/>
    <w:rsid w:val="36C26B8E"/>
    <w:rsid w:val="36E41E01"/>
    <w:rsid w:val="36EF73DF"/>
    <w:rsid w:val="36FA7861"/>
    <w:rsid w:val="3716362D"/>
    <w:rsid w:val="3744619F"/>
    <w:rsid w:val="374E03A8"/>
    <w:rsid w:val="375F48B5"/>
    <w:rsid w:val="37797AAB"/>
    <w:rsid w:val="37965565"/>
    <w:rsid w:val="38683E4F"/>
    <w:rsid w:val="38710E3F"/>
    <w:rsid w:val="389649C5"/>
    <w:rsid w:val="3971655D"/>
    <w:rsid w:val="39BA1ADC"/>
    <w:rsid w:val="39F40A57"/>
    <w:rsid w:val="3A483B8C"/>
    <w:rsid w:val="3A735F50"/>
    <w:rsid w:val="3A8D08BE"/>
    <w:rsid w:val="3AE356EC"/>
    <w:rsid w:val="3AE83416"/>
    <w:rsid w:val="3AE84F21"/>
    <w:rsid w:val="3B1E1277"/>
    <w:rsid w:val="3B241639"/>
    <w:rsid w:val="3B2958E9"/>
    <w:rsid w:val="3B340B10"/>
    <w:rsid w:val="3B4342F2"/>
    <w:rsid w:val="3B705907"/>
    <w:rsid w:val="3BAC54A0"/>
    <w:rsid w:val="3BB450D2"/>
    <w:rsid w:val="3BB51625"/>
    <w:rsid w:val="3BB83A55"/>
    <w:rsid w:val="3BC540CC"/>
    <w:rsid w:val="3C016259"/>
    <w:rsid w:val="3C05702B"/>
    <w:rsid w:val="3C6447EF"/>
    <w:rsid w:val="3C70334F"/>
    <w:rsid w:val="3C797D13"/>
    <w:rsid w:val="3C806348"/>
    <w:rsid w:val="3CD2615F"/>
    <w:rsid w:val="3CEF3752"/>
    <w:rsid w:val="3D11205B"/>
    <w:rsid w:val="3D3D55B3"/>
    <w:rsid w:val="3D50398D"/>
    <w:rsid w:val="3D5619DA"/>
    <w:rsid w:val="3D5B6EE5"/>
    <w:rsid w:val="3D604ED5"/>
    <w:rsid w:val="3DE25DB3"/>
    <w:rsid w:val="3DE6670E"/>
    <w:rsid w:val="3DFA46B3"/>
    <w:rsid w:val="3E1B54E8"/>
    <w:rsid w:val="3E7A463F"/>
    <w:rsid w:val="3E925B12"/>
    <w:rsid w:val="3ED65306"/>
    <w:rsid w:val="3EFB0FE0"/>
    <w:rsid w:val="3F0128C7"/>
    <w:rsid w:val="3F12480E"/>
    <w:rsid w:val="3F50722A"/>
    <w:rsid w:val="3F645D9C"/>
    <w:rsid w:val="3F8E1AF4"/>
    <w:rsid w:val="3FA35235"/>
    <w:rsid w:val="3FA54560"/>
    <w:rsid w:val="3FB10B8E"/>
    <w:rsid w:val="3FCB2B69"/>
    <w:rsid w:val="3FFD4490"/>
    <w:rsid w:val="403E01D7"/>
    <w:rsid w:val="405A34BE"/>
    <w:rsid w:val="40650AB8"/>
    <w:rsid w:val="406D2075"/>
    <w:rsid w:val="40A73A11"/>
    <w:rsid w:val="40D02A09"/>
    <w:rsid w:val="40D50F73"/>
    <w:rsid w:val="40E765BD"/>
    <w:rsid w:val="410D6E30"/>
    <w:rsid w:val="41412351"/>
    <w:rsid w:val="414E6719"/>
    <w:rsid w:val="416D4D8C"/>
    <w:rsid w:val="417A46D4"/>
    <w:rsid w:val="41904DF6"/>
    <w:rsid w:val="419345E1"/>
    <w:rsid w:val="41940CDA"/>
    <w:rsid w:val="41AA2509"/>
    <w:rsid w:val="41B16EBC"/>
    <w:rsid w:val="41CF0BCF"/>
    <w:rsid w:val="41D427C4"/>
    <w:rsid w:val="41E04248"/>
    <w:rsid w:val="42042CCA"/>
    <w:rsid w:val="42812A86"/>
    <w:rsid w:val="42B56350"/>
    <w:rsid w:val="43104C13"/>
    <w:rsid w:val="431C69B2"/>
    <w:rsid w:val="432C5504"/>
    <w:rsid w:val="43365770"/>
    <w:rsid w:val="43482809"/>
    <w:rsid w:val="43727FC7"/>
    <w:rsid w:val="43794BD1"/>
    <w:rsid w:val="439006C3"/>
    <w:rsid w:val="43934B60"/>
    <w:rsid w:val="43CB6AF0"/>
    <w:rsid w:val="44C409AF"/>
    <w:rsid w:val="44CB6471"/>
    <w:rsid w:val="44D70159"/>
    <w:rsid w:val="44EE43C1"/>
    <w:rsid w:val="4504471C"/>
    <w:rsid w:val="45263750"/>
    <w:rsid w:val="4567448A"/>
    <w:rsid w:val="45791C6C"/>
    <w:rsid w:val="45845CE2"/>
    <w:rsid w:val="45974ABD"/>
    <w:rsid w:val="45D05F89"/>
    <w:rsid w:val="460008CE"/>
    <w:rsid w:val="46107943"/>
    <w:rsid w:val="46212412"/>
    <w:rsid w:val="462430DE"/>
    <w:rsid w:val="46A301C2"/>
    <w:rsid w:val="46A54CB5"/>
    <w:rsid w:val="46A83331"/>
    <w:rsid w:val="46B215A3"/>
    <w:rsid w:val="46C36755"/>
    <w:rsid w:val="46D027AA"/>
    <w:rsid w:val="47092F16"/>
    <w:rsid w:val="47396823"/>
    <w:rsid w:val="476D5EBB"/>
    <w:rsid w:val="47711558"/>
    <w:rsid w:val="47723768"/>
    <w:rsid w:val="47D9353C"/>
    <w:rsid w:val="47E54F55"/>
    <w:rsid w:val="47FA3E97"/>
    <w:rsid w:val="47FE50D5"/>
    <w:rsid w:val="483337FA"/>
    <w:rsid w:val="48586EB4"/>
    <w:rsid w:val="48961FF5"/>
    <w:rsid w:val="48A25DD0"/>
    <w:rsid w:val="48AF384C"/>
    <w:rsid w:val="48C46FC3"/>
    <w:rsid w:val="48DD2962"/>
    <w:rsid w:val="48E369C4"/>
    <w:rsid w:val="48EF5006"/>
    <w:rsid w:val="49005A9E"/>
    <w:rsid w:val="49490BB1"/>
    <w:rsid w:val="494B36B3"/>
    <w:rsid w:val="49692915"/>
    <w:rsid w:val="498D183A"/>
    <w:rsid w:val="499769D5"/>
    <w:rsid w:val="4A3847B0"/>
    <w:rsid w:val="4A3F772C"/>
    <w:rsid w:val="4A492B02"/>
    <w:rsid w:val="4A584C12"/>
    <w:rsid w:val="4A6603DD"/>
    <w:rsid w:val="4A6E7668"/>
    <w:rsid w:val="4ABA69ED"/>
    <w:rsid w:val="4ABC719B"/>
    <w:rsid w:val="4B040E73"/>
    <w:rsid w:val="4B054806"/>
    <w:rsid w:val="4B323DAD"/>
    <w:rsid w:val="4B384FF9"/>
    <w:rsid w:val="4B6C0448"/>
    <w:rsid w:val="4B911AF6"/>
    <w:rsid w:val="4B992729"/>
    <w:rsid w:val="4B9D341E"/>
    <w:rsid w:val="4BB66672"/>
    <w:rsid w:val="4BF14E5C"/>
    <w:rsid w:val="4BF6455A"/>
    <w:rsid w:val="4C2C72E7"/>
    <w:rsid w:val="4C6A36A5"/>
    <w:rsid w:val="4CB2203E"/>
    <w:rsid w:val="4CD76316"/>
    <w:rsid w:val="4D221A5E"/>
    <w:rsid w:val="4D2F1ADF"/>
    <w:rsid w:val="4D397E04"/>
    <w:rsid w:val="4D5B3007"/>
    <w:rsid w:val="4D6604E2"/>
    <w:rsid w:val="4D83282D"/>
    <w:rsid w:val="4D850510"/>
    <w:rsid w:val="4DB91463"/>
    <w:rsid w:val="4DD26CD8"/>
    <w:rsid w:val="4DE16570"/>
    <w:rsid w:val="4DF4262E"/>
    <w:rsid w:val="4E36503C"/>
    <w:rsid w:val="4E663FE6"/>
    <w:rsid w:val="4E7D306C"/>
    <w:rsid w:val="4EAB4438"/>
    <w:rsid w:val="4EBC4081"/>
    <w:rsid w:val="4ED02D42"/>
    <w:rsid w:val="4EE36998"/>
    <w:rsid w:val="4F377CE8"/>
    <w:rsid w:val="4F42117D"/>
    <w:rsid w:val="4F48599F"/>
    <w:rsid w:val="4F4F2BC1"/>
    <w:rsid w:val="4F604C84"/>
    <w:rsid w:val="4F7A0880"/>
    <w:rsid w:val="4F96706C"/>
    <w:rsid w:val="4FA060F5"/>
    <w:rsid w:val="4FC4188D"/>
    <w:rsid w:val="4FC915F8"/>
    <w:rsid w:val="50421741"/>
    <w:rsid w:val="504E4277"/>
    <w:rsid w:val="50584DAA"/>
    <w:rsid w:val="506F3038"/>
    <w:rsid w:val="50952DF2"/>
    <w:rsid w:val="50EA74A0"/>
    <w:rsid w:val="50F07683"/>
    <w:rsid w:val="512B3E20"/>
    <w:rsid w:val="51316332"/>
    <w:rsid w:val="516C70A1"/>
    <w:rsid w:val="52372CD0"/>
    <w:rsid w:val="523875ED"/>
    <w:rsid w:val="526826F8"/>
    <w:rsid w:val="5302247A"/>
    <w:rsid w:val="53315390"/>
    <w:rsid w:val="533A5121"/>
    <w:rsid w:val="53425BB0"/>
    <w:rsid w:val="534B0C47"/>
    <w:rsid w:val="5360776D"/>
    <w:rsid w:val="537261AA"/>
    <w:rsid w:val="53E411F3"/>
    <w:rsid w:val="54402B4B"/>
    <w:rsid w:val="544D59FD"/>
    <w:rsid w:val="546A6B00"/>
    <w:rsid w:val="54B10B69"/>
    <w:rsid w:val="54C560B0"/>
    <w:rsid w:val="54D357A1"/>
    <w:rsid w:val="54FE79E1"/>
    <w:rsid w:val="550479F9"/>
    <w:rsid w:val="554054D5"/>
    <w:rsid w:val="5565242B"/>
    <w:rsid w:val="558B0EF2"/>
    <w:rsid w:val="56066014"/>
    <w:rsid w:val="56195DC5"/>
    <w:rsid w:val="56205935"/>
    <w:rsid w:val="56566C36"/>
    <w:rsid w:val="5671771B"/>
    <w:rsid w:val="569F5204"/>
    <w:rsid w:val="56A40F80"/>
    <w:rsid w:val="56E30A23"/>
    <w:rsid w:val="56E45366"/>
    <w:rsid w:val="56F805D3"/>
    <w:rsid w:val="56F9482C"/>
    <w:rsid w:val="572F2122"/>
    <w:rsid w:val="5732282D"/>
    <w:rsid w:val="57513E3C"/>
    <w:rsid w:val="575E71D1"/>
    <w:rsid w:val="57656AAF"/>
    <w:rsid w:val="57780285"/>
    <w:rsid w:val="57895841"/>
    <w:rsid w:val="57CB7122"/>
    <w:rsid w:val="580206F4"/>
    <w:rsid w:val="580F49BF"/>
    <w:rsid w:val="581F69C6"/>
    <w:rsid w:val="58AB2DDF"/>
    <w:rsid w:val="58BB51AE"/>
    <w:rsid w:val="58C67724"/>
    <w:rsid w:val="58F74373"/>
    <w:rsid w:val="592B2BC8"/>
    <w:rsid w:val="5932697F"/>
    <w:rsid w:val="5945570A"/>
    <w:rsid w:val="597746E4"/>
    <w:rsid w:val="59843CBF"/>
    <w:rsid w:val="598A1022"/>
    <w:rsid w:val="59B44E5D"/>
    <w:rsid w:val="59B93578"/>
    <w:rsid w:val="59C60319"/>
    <w:rsid w:val="5A0A7C1A"/>
    <w:rsid w:val="5A4A27BF"/>
    <w:rsid w:val="5A4A7AA9"/>
    <w:rsid w:val="5A636A25"/>
    <w:rsid w:val="5A795462"/>
    <w:rsid w:val="5B1A0885"/>
    <w:rsid w:val="5B314B9C"/>
    <w:rsid w:val="5B4F5494"/>
    <w:rsid w:val="5B5267B9"/>
    <w:rsid w:val="5B5F034D"/>
    <w:rsid w:val="5B64318C"/>
    <w:rsid w:val="5B7A2A80"/>
    <w:rsid w:val="5B9E5C51"/>
    <w:rsid w:val="5BC05588"/>
    <w:rsid w:val="5BD42E24"/>
    <w:rsid w:val="5BE21F66"/>
    <w:rsid w:val="5BFB37A6"/>
    <w:rsid w:val="5C240C7B"/>
    <w:rsid w:val="5C8D51F6"/>
    <w:rsid w:val="5CA223D5"/>
    <w:rsid w:val="5CA52AF5"/>
    <w:rsid w:val="5CB36319"/>
    <w:rsid w:val="5CB963A2"/>
    <w:rsid w:val="5CC41C0D"/>
    <w:rsid w:val="5CCB1B37"/>
    <w:rsid w:val="5CCE1A7B"/>
    <w:rsid w:val="5CE42D12"/>
    <w:rsid w:val="5D2006AE"/>
    <w:rsid w:val="5D5D7AEC"/>
    <w:rsid w:val="5D77206B"/>
    <w:rsid w:val="5DB07B64"/>
    <w:rsid w:val="5DDE2965"/>
    <w:rsid w:val="5DE55D4F"/>
    <w:rsid w:val="5DF24F34"/>
    <w:rsid w:val="5E0B635A"/>
    <w:rsid w:val="5E1F1A63"/>
    <w:rsid w:val="5E294CEB"/>
    <w:rsid w:val="5E3412FA"/>
    <w:rsid w:val="5EA11D24"/>
    <w:rsid w:val="5ECD67E6"/>
    <w:rsid w:val="5ED02091"/>
    <w:rsid w:val="5ED02A30"/>
    <w:rsid w:val="5EF54261"/>
    <w:rsid w:val="5EF66F80"/>
    <w:rsid w:val="5EFD3DCB"/>
    <w:rsid w:val="5F323D85"/>
    <w:rsid w:val="5F5919A6"/>
    <w:rsid w:val="5F82440E"/>
    <w:rsid w:val="5F895057"/>
    <w:rsid w:val="5F940A3E"/>
    <w:rsid w:val="5FE408D5"/>
    <w:rsid w:val="60210B27"/>
    <w:rsid w:val="603C0211"/>
    <w:rsid w:val="605C661D"/>
    <w:rsid w:val="60864E22"/>
    <w:rsid w:val="60992FAF"/>
    <w:rsid w:val="610B3038"/>
    <w:rsid w:val="6157463B"/>
    <w:rsid w:val="617E4947"/>
    <w:rsid w:val="618C3680"/>
    <w:rsid w:val="619157A0"/>
    <w:rsid w:val="61AD7FAC"/>
    <w:rsid w:val="61B9082C"/>
    <w:rsid w:val="61C52B0E"/>
    <w:rsid w:val="620039AE"/>
    <w:rsid w:val="62012E19"/>
    <w:rsid w:val="620C4DF8"/>
    <w:rsid w:val="62202C87"/>
    <w:rsid w:val="62552691"/>
    <w:rsid w:val="62FE72D8"/>
    <w:rsid w:val="632259C4"/>
    <w:rsid w:val="63263D0D"/>
    <w:rsid w:val="634D2D5C"/>
    <w:rsid w:val="63632B45"/>
    <w:rsid w:val="6373260F"/>
    <w:rsid w:val="63856413"/>
    <w:rsid w:val="63AD54D7"/>
    <w:rsid w:val="63D201A3"/>
    <w:rsid w:val="63DF6D3D"/>
    <w:rsid w:val="64003D27"/>
    <w:rsid w:val="644763D7"/>
    <w:rsid w:val="64505A3F"/>
    <w:rsid w:val="646E04C5"/>
    <w:rsid w:val="649548FB"/>
    <w:rsid w:val="64AD388C"/>
    <w:rsid w:val="64B60830"/>
    <w:rsid w:val="64D81CF5"/>
    <w:rsid w:val="65420BAE"/>
    <w:rsid w:val="65520C3E"/>
    <w:rsid w:val="65863C10"/>
    <w:rsid w:val="65A45561"/>
    <w:rsid w:val="66324275"/>
    <w:rsid w:val="66582833"/>
    <w:rsid w:val="667557A4"/>
    <w:rsid w:val="669F5C50"/>
    <w:rsid w:val="66C66E69"/>
    <w:rsid w:val="66E61D57"/>
    <w:rsid w:val="66E9246C"/>
    <w:rsid w:val="673D3AD3"/>
    <w:rsid w:val="676E3F85"/>
    <w:rsid w:val="67AA791C"/>
    <w:rsid w:val="681253D0"/>
    <w:rsid w:val="68464F3B"/>
    <w:rsid w:val="684A64D9"/>
    <w:rsid w:val="685A6D95"/>
    <w:rsid w:val="689B44E8"/>
    <w:rsid w:val="68A32F09"/>
    <w:rsid w:val="68B94F59"/>
    <w:rsid w:val="68C0194D"/>
    <w:rsid w:val="68C65D6E"/>
    <w:rsid w:val="68CE1A16"/>
    <w:rsid w:val="68DA5ADD"/>
    <w:rsid w:val="68DC1A4F"/>
    <w:rsid w:val="68F2680E"/>
    <w:rsid w:val="69107A14"/>
    <w:rsid w:val="6924250F"/>
    <w:rsid w:val="69271690"/>
    <w:rsid w:val="694C0E55"/>
    <w:rsid w:val="6959691A"/>
    <w:rsid w:val="696033A5"/>
    <w:rsid w:val="696533DD"/>
    <w:rsid w:val="696973C3"/>
    <w:rsid w:val="696F027E"/>
    <w:rsid w:val="698E4AF7"/>
    <w:rsid w:val="69A16F46"/>
    <w:rsid w:val="69C55233"/>
    <w:rsid w:val="69EB0D20"/>
    <w:rsid w:val="6A624D6D"/>
    <w:rsid w:val="6A6F50C1"/>
    <w:rsid w:val="6A8C667E"/>
    <w:rsid w:val="6A932B4B"/>
    <w:rsid w:val="6AE866A8"/>
    <w:rsid w:val="6AEA5C26"/>
    <w:rsid w:val="6AF619D0"/>
    <w:rsid w:val="6B0146A4"/>
    <w:rsid w:val="6B051D29"/>
    <w:rsid w:val="6B087F5F"/>
    <w:rsid w:val="6B676306"/>
    <w:rsid w:val="6B6D718E"/>
    <w:rsid w:val="6B711B7A"/>
    <w:rsid w:val="6BC8556D"/>
    <w:rsid w:val="6BD43669"/>
    <w:rsid w:val="6BE8725E"/>
    <w:rsid w:val="6C152647"/>
    <w:rsid w:val="6C156D2D"/>
    <w:rsid w:val="6C187585"/>
    <w:rsid w:val="6C255D33"/>
    <w:rsid w:val="6C2F6077"/>
    <w:rsid w:val="6C3345BF"/>
    <w:rsid w:val="6C6608D6"/>
    <w:rsid w:val="6C7D5484"/>
    <w:rsid w:val="6C9852E5"/>
    <w:rsid w:val="6C992705"/>
    <w:rsid w:val="6CD858AC"/>
    <w:rsid w:val="6CFA7D7F"/>
    <w:rsid w:val="6D66521C"/>
    <w:rsid w:val="6D6F33E7"/>
    <w:rsid w:val="6D8D7A35"/>
    <w:rsid w:val="6DBD1347"/>
    <w:rsid w:val="6E2A7591"/>
    <w:rsid w:val="6E4F523E"/>
    <w:rsid w:val="6E5729A2"/>
    <w:rsid w:val="6E583A1F"/>
    <w:rsid w:val="6EAA495D"/>
    <w:rsid w:val="6EAB742B"/>
    <w:rsid w:val="6EAE1C55"/>
    <w:rsid w:val="6EB0558D"/>
    <w:rsid w:val="6EC6113E"/>
    <w:rsid w:val="6EC97476"/>
    <w:rsid w:val="6EFF1080"/>
    <w:rsid w:val="6F0B51A4"/>
    <w:rsid w:val="6F170E2C"/>
    <w:rsid w:val="6F1C670B"/>
    <w:rsid w:val="6F213326"/>
    <w:rsid w:val="6F3A22A7"/>
    <w:rsid w:val="6F45287E"/>
    <w:rsid w:val="6F68200A"/>
    <w:rsid w:val="6FD623D7"/>
    <w:rsid w:val="6FFA1CBF"/>
    <w:rsid w:val="70531535"/>
    <w:rsid w:val="70BF0D6E"/>
    <w:rsid w:val="70E01DD1"/>
    <w:rsid w:val="71146B51"/>
    <w:rsid w:val="71147230"/>
    <w:rsid w:val="71161C74"/>
    <w:rsid w:val="711C5B34"/>
    <w:rsid w:val="71597165"/>
    <w:rsid w:val="717256AD"/>
    <w:rsid w:val="718544F1"/>
    <w:rsid w:val="71976406"/>
    <w:rsid w:val="71DE2066"/>
    <w:rsid w:val="71E95523"/>
    <w:rsid w:val="720A152D"/>
    <w:rsid w:val="721F1D01"/>
    <w:rsid w:val="7222649A"/>
    <w:rsid w:val="72D11304"/>
    <w:rsid w:val="730C4186"/>
    <w:rsid w:val="731E3351"/>
    <w:rsid w:val="7341102A"/>
    <w:rsid w:val="736B0572"/>
    <w:rsid w:val="737974C3"/>
    <w:rsid w:val="73A17E6A"/>
    <w:rsid w:val="73E16D57"/>
    <w:rsid w:val="73E276D3"/>
    <w:rsid w:val="73EE0AE6"/>
    <w:rsid w:val="7453624B"/>
    <w:rsid w:val="746049BA"/>
    <w:rsid w:val="747A7AB9"/>
    <w:rsid w:val="74874E5A"/>
    <w:rsid w:val="74A227F4"/>
    <w:rsid w:val="74A2568B"/>
    <w:rsid w:val="74BA5E3A"/>
    <w:rsid w:val="74C47F76"/>
    <w:rsid w:val="74FD32BB"/>
    <w:rsid w:val="753D4FBB"/>
    <w:rsid w:val="754E3DD7"/>
    <w:rsid w:val="7573132B"/>
    <w:rsid w:val="757934F0"/>
    <w:rsid w:val="75C80FD3"/>
    <w:rsid w:val="75DC3A8B"/>
    <w:rsid w:val="76021882"/>
    <w:rsid w:val="76160679"/>
    <w:rsid w:val="761715C6"/>
    <w:rsid w:val="766574D1"/>
    <w:rsid w:val="767C3DB4"/>
    <w:rsid w:val="768F2CE9"/>
    <w:rsid w:val="76DE1045"/>
    <w:rsid w:val="771463D1"/>
    <w:rsid w:val="774A39DA"/>
    <w:rsid w:val="776C147A"/>
    <w:rsid w:val="77777CEB"/>
    <w:rsid w:val="779B02BA"/>
    <w:rsid w:val="77CA4292"/>
    <w:rsid w:val="77D64484"/>
    <w:rsid w:val="77E922B4"/>
    <w:rsid w:val="78081990"/>
    <w:rsid w:val="781A58E7"/>
    <w:rsid w:val="7833145C"/>
    <w:rsid w:val="786258A4"/>
    <w:rsid w:val="787A60AB"/>
    <w:rsid w:val="78B548EA"/>
    <w:rsid w:val="78CE1FD7"/>
    <w:rsid w:val="78D0463B"/>
    <w:rsid w:val="7906595E"/>
    <w:rsid w:val="7911284D"/>
    <w:rsid w:val="7917686A"/>
    <w:rsid w:val="79424F41"/>
    <w:rsid w:val="794B7201"/>
    <w:rsid w:val="795B0ABE"/>
    <w:rsid w:val="798B1783"/>
    <w:rsid w:val="79B2108A"/>
    <w:rsid w:val="7A417E6A"/>
    <w:rsid w:val="7A8A0C41"/>
    <w:rsid w:val="7A92024C"/>
    <w:rsid w:val="7A98347A"/>
    <w:rsid w:val="7AA222D1"/>
    <w:rsid w:val="7B0B5BD1"/>
    <w:rsid w:val="7B930658"/>
    <w:rsid w:val="7BA53398"/>
    <w:rsid w:val="7BC71689"/>
    <w:rsid w:val="7BE20360"/>
    <w:rsid w:val="7C1A1A2B"/>
    <w:rsid w:val="7C435CA9"/>
    <w:rsid w:val="7C78688F"/>
    <w:rsid w:val="7C81406C"/>
    <w:rsid w:val="7C867510"/>
    <w:rsid w:val="7CF01DBB"/>
    <w:rsid w:val="7CF510C4"/>
    <w:rsid w:val="7D21376C"/>
    <w:rsid w:val="7D303C57"/>
    <w:rsid w:val="7D4A20BD"/>
    <w:rsid w:val="7D622331"/>
    <w:rsid w:val="7D8B198E"/>
    <w:rsid w:val="7D934831"/>
    <w:rsid w:val="7DCE63D6"/>
    <w:rsid w:val="7DD75B87"/>
    <w:rsid w:val="7DFC7E2B"/>
    <w:rsid w:val="7E122B46"/>
    <w:rsid w:val="7E262275"/>
    <w:rsid w:val="7E2676D0"/>
    <w:rsid w:val="7E4F73AA"/>
    <w:rsid w:val="7E654A6D"/>
    <w:rsid w:val="7E74200D"/>
    <w:rsid w:val="7E7B6F9A"/>
    <w:rsid w:val="7EA22277"/>
    <w:rsid w:val="7EC63541"/>
    <w:rsid w:val="7EED4B13"/>
    <w:rsid w:val="7F8B1A78"/>
    <w:rsid w:val="7FA418D8"/>
    <w:rsid w:val="7FA92784"/>
    <w:rsid w:val="7FDD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unhideWhenUsed="0" w:uiPriority="0" w:semiHidden="0" w:name=""/>
    <w:lsdException w:unhideWhenUsed="0" w:uiPriority="0" w:semiHidden="0" w:name=""/>
    <w:lsdException w:qFormat="1"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 w:cs="Times New Roman"/>
      <w:kern w:val="2"/>
      <w:sz w:val="21"/>
      <w:szCs w:val="24"/>
      <w:lang w:val="en-US" w:eastAsia="zh-CN" w:bidi="ar-SA"/>
    </w:rPr>
  </w:style>
  <w:style w:type="paragraph" w:styleId="4">
    <w:name w:val="heading 1"/>
    <w:basedOn w:val="1"/>
    <w:next w:val="1"/>
    <w:link w:val="49"/>
    <w:qFormat/>
    <w:uiPriority w:val="0"/>
    <w:pPr>
      <w:keepNext/>
      <w:keepLines/>
      <w:spacing w:before="120" w:after="120"/>
      <w:jc w:val="center"/>
      <w:outlineLvl w:val="0"/>
    </w:pPr>
    <w:rPr>
      <w:b/>
      <w:kern w:val="44"/>
      <w:sz w:val="44"/>
    </w:rPr>
  </w:style>
  <w:style w:type="paragraph" w:styleId="5">
    <w:name w:val="heading 2"/>
    <w:basedOn w:val="1"/>
    <w:next w:val="1"/>
    <w:qFormat/>
    <w:uiPriority w:val="0"/>
    <w:pPr>
      <w:keepNext/>
      <w:keepLines/>
      <w:spacing w:before="140" w:after="140" w:line="413" w:lineRule="auto"/>
      <w:jc w:val="center"/>
      <w:outlineLvl w:val="1"/>
    </w:pPr>
    <w:rPr>
      <w:rFonts w:ascii="Arial" w:hAnsi="Arial"/>
      <w:b/>
      <w:sz w:val="28"/>
    </w:rPr>
  </w:style>
  <w:style w:type="paragraph" w:styleId="6">
    <w:name w:val="heading 4"/>
    <w:basedOn w:val="1"/>
    <w:next w:val="1"/>
    <w:qFormat/>
    <w:uiPriority w:val="0"/>
    <w:pPr>
      <w:keepNext/>
      <w:keepLines/>
      <w:outlineLvl w:val="3"/>
    </w:pPr>
    <w:rPr>
      <w:rFonts w:ascii="Arial" w:hAnsi="Arial" w:eastAsia="黑体"/>
      <w:bCs/>
      <w:kern w:val="0"/>
      <w:sz w:val="24"/>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spacing w:line="360" w:lineRule="auto"/>
      <w:ind w:firstLine="420" w:firstLineChars="100"/>
    </w:pPr>
    <w:rPr>
      <w:rFonts w:ascii="微软雅黑" w:hAnsi="微软雅黑" w:eastAsia="微软雅黑" w:cs="微软雅黑"/>
      <w:szCs w:val="21"/>
    </w:rPr>
  </w:style>
  <w:style w:type="paragraph" w:styleId="3">
    <w:name w:val="Body Text"/>
    <w:basedOn w:val="1"/>
    <w:qFormat/>
    <w:uiPriority w:val="0"/>
    <w:pPr>
      <w:spacing w:after="120"/>
    </w:pPr>
    <w:rPr>
      <w:rFonts w:ascii="Times New Roman" w:hAnsi="Times New Roman"/>
    </w:rPr>
  </w:style>
  <w:style w:type="paragraph" w:styleId="7">
    <w:name w:val="Document Map"/>
    <w:basedOn w:val="1"/>
    <w:link w:val="43"/>
    <w:qFormat/>
    <w:uiPriority w:val="0"/>
    <w:rPr>
      <w:rFonts w:eastAsia="宋体"/>
      <w:sz w:val="18"/>
      <w:szCs w:val="18"/>
    </w:rPr>
  </w:style>
  <w:style w:type="paragraph" w:styleId="8">
    <w:name w:val="annotation text"/>
    <w:basedOn w:val="1"/>
    <w:link w:val="42"/>
    <w:unhideWhenUsed/>
    <w:qFormat/>
    <w:uiPriority w:val="99"/>
    <w:pPr>
      <w:jc w:val="left"/>
    </w:pPr>
  </w:style>
  <w:style w:type="paragraph" w:styleId="9">
    <w:name w:val="Body Text Indent"/>
    <w:basedOn w:val="1"/>
    <w:qFormat/>
    <w:uiPriority w:val="0"/>
    <w:pPr>
      <w:spacing w:after="120"/>
      <w:ind w:left="420" w:leftChars="200"/>
    </w:pPr>
  </w:style>
  <w:style w:type="paragraph" w:styleId="10">
    <w:name w:val="Plain Text"/>
    <w:basedOn w:val="1"/>
    <w:qFormat/>
    <w:uiPriority w:val="99"/>
    <w:rPr>
      <w:rFonts w:hAnsi="Courier New" w:cs="Courier New"/>
      <w:szCs w:val="21"/>
    </w:rPr>
  </w:style>
  <w:style w:type="paragraph" w:styleId="11">
    <w:name w:val="Balloon Text"/>
    <w:basedOn w:val="1"/>
    <w:link w:val="41"/>
    <w:qFormat/>
    <w:uiPriority w:val="0"/>
    <w:rPr>
      <w:sz w:val="18"/>
      <w:szCs w:val="18"/>
    </w:rPr>
  </w:style>
  <w:style w:type="paragraph" w:styleId="12">
    <w:name w:val="footer"/>
    <w:basedOn w:val="1"/>
    <w:link w:val="45"/>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Normal (Web)"/>
    <w:basedOn w:val="1"/>
    <w:unhideWhenUsed/>
    <w:qFormat/>
    <w:uiPriority w:val="0"/>
    <w:pPr>
      <w:widowControl/>
      <w:spacing w:before="100" w:beforeAutospacing="1" w:after="100" w:afterAutospacing="1"/>
      <w:jc w:val="left"/>
    </w:pPr>
    <w:rPr>
      <w:rFonts w:eastAsia="宋体" w:cs="宋体"/>
      <w:kern w:val="0"/>
      <w:sz w:val="24"/>
    </w:rPr>
  </w:style>
  <w:style w:type="paragraph" w:styleId="16">
    <w:name w:val="annotation subject"/>
    <w:basedOn w:val="8"/>
    <w:next w:val="8"/>
    <w:link w:val="44"/>
    <w:qFormat/>
    <w:uiPriority w:val="0"/>
    <w:rPr>
      <w:b/>
      <w:bCs/>
    </w:rPr>
  </w:style>
  <w:style w:type="paragraph" w:styleId="17">
    <w:name w:val="Body Text First Indent 2"/>
    <w:basedOn w:val="9"/>
    <w:next w:val="15"/>
    <w:qFormat/>
    <w:uiPriority w:val="0"/>
    <w:pPr>
      <w:spacing w:before="100" w:beforeAutospacing="1" w:afterAutospacing="1"/>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FollowedHyperlink"/>
    <w:qFormat/>
    <w:uiPriority w:val="0"/>
    <w:rPr>
      <w:color w:val="337AB7"/>
      <w:u w:val="none"/>
    </w:rPr>
  </w:style>
  <w:style w:type="character" w:styleId="23">
    <w:name w:val="HTML Definition"/>
    <w:basedOn w:val="20"/>
    <w:qFormat/>
    <w:uiPriority w:val="0"/>
    <w:rPr>
      <w:i/>
      <w:iCs/>
    </w:rPr>
  </w:style>
  <w:style w:type="character" w:styleId="24">
    <w:name w:val="Hyperlink"/>
    <w:qFormat/>
    <w:uiPriority w:val="0"/>
    <w:rPr>
      <w:color w:val="337AB7"/>
      <w:u w:val="none"/>
    </w:rPr>
  </w:style>
  <w:style w:type="character" w:styleId="25">
    <w:name w:val="HTML Code"/>
    <w:qFormat/>
    <w:uiPriority w:val="0"/>
    <w:rPr>
      <w:rFonts w:hint="default" w:ascii="Consolas" w:hAnsi="Consolas" w:eastAsia="Consolas" w:cs="Consolas"/>
      <w:color w:val="C7254E"/>
      <w:sz w:val="21"/>
      <w:szCs w:val="21"/>
      <w:shd w:val="clear" w:color="auto" w:fill="F9F2F4"/>
    </w:rPr>
  </w:style>
  <w:style w:type="character" w:styleId="26">
    <w:name w:val="annotation reference"/>
    <w:unhideWhenUsed/>
    <w:qFormat/>
    <w:uiPriority w:val="99"/>
    <w:rPr>
      <w:sz w:val="21"/>
      <w:szCs w:val="21"/>
    </w:rPr>
  </w:style>
  <w:style w:type="character" w:styleId="27">
    <w:name w:val="HTML Keyboard"/>
    <w:qFormat/>
    <w:uiPriority w:val="0"/>
    <w:rPr>
      <w:rFonts w:ascii="Consolas" w:hAnsi="Consolas" w:eastAsia="Consolas" w:cs="Consolas"/>
      <w:color w:val="FFFFFF"/>
      <w:sz w:val="21"/>
      <w:szCs w:val="21"/>
      <w:shd w:val="clear" w:color="auto" w:fill="333333"/>
    </w:rPr>
  </w:style>
  <w:style w:type="character" w:styleId="28">
    <w:name w:val="HTML Sample"/>
    <w:qFormat/>
    <w:uiPriority w:val="0"/>
    <w:rPr>
      <w:rFonts w:hint="default" w:ascii="Consolas" w:hAnsi="Consolas" w:eastAsia="Consolas" w:cs="Consolas"/>
      <w:sz w:val="21"/>
      <w:szCs w:val="21"/>
    </w:rPr>
  </w:style>
  <w:style w:type="paragraph" w:customStyle="1" w:styleId="29">
    <w:name w:val="WPSOffice手动目录 3"/>
    <w:qFormat/>
    <w:uiPriority w:val="0"/>
    <w:pPr>
      <w:ind w:left="400" w:leftChars="400"/>
    </w:pPr>
    <w:rPr>
      <w:rFonts w:ascii="宋体" w:hAnsi="宋体" w:eastAsia="宋体" w:cs="Times New Roman"/>
      <w:lang w:val="en-US" w:eastAsia="zh-CN" w:bidi="ar-SA"/>
    </w:rPr>
  </w:style>
  <w:style w:type="paragraph" w:customStyle="1" w:styleId="30">
    <w:name w:val="样式1"/>
    <w:basedOn w:val="1"/>
    <w:qFormat/>
    <w:uiPriority w:val="0"/>
    <w:pPr>
      <w:numPr>
        <w:ilvl w:val="0"/>
        <w:numId w:val="1"/>
      </w:numPr>
      <w:adjustRightInd w:val="0"/>
      <w:textAlignment w:val="baseline"/>
    </w:pPr>
    <w:rPr>
      <w:kern w:val="0"/>
      <w:szCs w:val="21"/>
    </w:rPr>
  </w:style>
  <w:style w:type="paragraph" w:customStyle="1" w:styleId="31">
    <w:name w:val="目录 41"/>
    <w:next w:val="1"/>
    <w:qFormat/>
    <w:uiPriority w:val="0"/>
    <w:pPr>
      <w:wordWrap w:val="0"/>
      <w:ind w:left="1275"/>
      <w:jc w:val="both"/>
    </w:pPr>
    <w:rPr>
      <w:rFonts w:ascii="宋体" w:hAnsi="宋体" w:eastAsia="宋体" w:cs="Times New Roman"/>
      <w:sz w:val="21"/>
      <w:lang w:val="en-US" w:eastAsia="zh-CN" w:bidi="ar-SA"/>
    </w:rPr>
  </w:style>
  <w:style w:type="paragraph" w:styleId="32">
    <w:name w:val="List Paragraph"/>
    <w:basedOn w:val="1"/>
    <w:qFormat/>
    <w:uiPriority w:val="34"/>
    <w:pPr>
      <w:ind w:firstLine="420" w:firstLineChars="200"/>
    </w:pPr>
  </w:style>
  <w:style w:type="paragraph" w:customStyle="1" w:styleId="33">
    <w:name w:val="WPSOffice手动目录 2"/>
    <w:qFormat/>
    <w:uiPriority w:val="0"/>
    <w:pPr>
      <w:ind w:left="200" w:leftChars="200"/>
    </w:pPr>
    <w:rPr>
      <w:rFonts w:ascii="宋体" w:hAnsi="宋体" w:eastAsia="宋体" w:cs="Times New Roman"/>
      <w:lang w:val="en-US" w:eastAsia="zh-CN" w:bidi="ar-SA"/>
    </w:rPr>
  </w:style>
  <w:style w:type="paragraph" w:customStyle="1" w:styleId="34">
    <w:name w:val="样式N"/>
    <w:basedOn w:val="35"/>
    <w:qFormat/>
    <w:uiPriority w:val="0"/>
    <w:rPr>
      <w:sz w:val="30"/>
    </w:rPr>
  </w:style>
  <w:style w:type="paragraph" w:customStyle="1" w:styleId="35">
    <w:name w:val="样式H"/>
    <w:basedOn w:val="4"/>
    <w:next w:val="1"/>
    <w:qFormat/>
    <w:uiPriority w:val="0"/>
    <w:pPr>
      <w:spacing w:before="100" w:line="500" w:lineRule="exact"/>
    </w:pPr>
  </w:style>
  <w:style w:type="paragraph" w:customStyle="1" w:styleId="36">
    <w:name w:val="newnewnewnew"/>
    <w:basedOn w:val="1"/>
    <w:qFormat/>
    <w:uiPriority w:val="0"/>
    <w:pPr>
      <w:widowControl/>
      <w:spacing w:before="100" w:beforeAutospacing="1" w:after="100" w:afterAutospacing="1"/>
      <w:jc w:val="left"/>
    </w:pPr>
    <w:rPr>
      <w:rFonts w:cs="宋体"/>
      <w:kern w:val="0"/>
      <w:sz w:val="24"/>
    </w:rPr>
  </w:style>
  <w:style w:type="paragraph" w:customStyle="1" w:styleId="37">
    <w:name w:val="_Style 3"/>
    <w:qFormat/>
    <w:uiPriority w:val="1"/>
    <w:pPr>
      <w:widowControl w:val="0"/>
      <w:jc w:val="both"/>
    </w:pPr>
    <w:rPr>
      <w:rFonts w:ascii="宋体" w:hAnsi="宋体" w:eastAsia="宋体" w:cs="Times New Roman"/>
      <w:kern w:val="2"/>
      <w:sz w:val="21"/>
      <w:szCs w:val="22"/>
      <w:lang w:val="en-US" w:eastAsia="zh-CN" w:bidi="ar-SA"/>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9">
    <w:name w:val="WPSOffice手动目录 1"/>
    <w:qFormat/>
    <w:uiPriority w:val="0"/>
    <w:rPr>
      <w:rFonts w:ascii="宋体" w:hAnsi="宋体" w:eastAsia="宋体" w:cs="Times New Roman"/>
      <w:lang w:val="en-US" w:eastAsia="zh-CN" w:bidi="ar-SA"/>
    </w:rPr>
  </w:style>
  <w:style w:type="paragraph" w:customStyle="1" w:styleId="40">
    <w:name w:val="列出段落11"/>
    <w:basedOn w:val="1"/>
    <w:qFormat/>
    <w:uiPriority w:val="34"/>
    <w:pPr>
      <w:ind w:firstLine="420" w:firstLineChars="200"/>
    </w:pPr>
    <w:rPr>
      <w:rFonts w:ascii="Calibri" w:hAnsi="Calibri" w:eastAsia="宋体"/>
      <w:szCs w:val="22"/>
      <w:lang w:val="zh-CN"/>
    </w:rPr>
  </w:style>
  <w:style w:type="character" w:customStyle="1" w:styleId="41">
    <w:name w:val="批注框文本 字符"/>
    <w:link w:val="11"/>
    <w:qFormat/>
    <w:uiPriority w:val="0"/>
    <w:rPr>
      <w:rFonts w:ascii="Calibri" w:hAnsi="Calibri" w:eastAsia="仿宋" w:cs="Times New Roman"/>
      <w:kern w:val="2"/>
      <w:sz w:val="18"/>
      <w:szCs w:val="18"/>
    </w:rPr>
  </w:style>
  <w:style w:type="character" w:customStyle="1" w:styleId="42">
    <w:name w:val="批注文字 字符"/>
    <w:link w:val="8"/>
    <w:qFormat/>
    <w:uiPriority w:val="99"/>
    <w:rPr>
      <w:rFonts w:ascii="Calibri" w:hAnsi="Calibri" w:eastAsia="仿宋" w:cs="Times New Roman"/>
      <w:kern w:val="2"/>
      <w:sz w:val="21"/>
      <w:szCs w:val="24"/>
    </w:rPr>
  </w:style>
  <w:style w:type="character" w:customStyle="1" w:styleId="43">
    <w:name w:val="文档结构图 字符"/>
    <w:link w:val="7"/>
    <w:qFormat/>
    <w:uiPriority w:val="0"/>
    <w:rPr>
      <w:rFonts w:ascii="宋体" w:hAnsi="Calibri" w:cs="Times New Roman"/>
      <w:kern w:val="2"/>
      <w:sz w:val="18"/>
      <w:szCs w:val="18"/>
    </w:rPr>
  </w:style>
  <w:style w:type="character" w:customStyle="1" w:styleId="44">
    <w:name w:val="批注主题 字符"/>
    <w:link w:val="16"/>
    <w:qFormat/>
    <w:uiPriority w:val="0"/>
    <w:rPr>
      <w:rFonts w:ascii="Calibri" w:hAnsi="Calibri" w:eastAsia="仿宋" w:cs="Times New Roman"/>
      <w:b/>
      <w:bCs/>
      <w:kern w:val="2"/>
      <w:sz w:val="21"/>
      <w:szCs w:val="24"/>
    </w:rPr>
  </w:style>
  <w:style w:type="character" w:customStyle="1" w:styleId="45">
    <w:name w:val="页脚 字符"/>
    <w:link w:val="12"/>
    <w:qFormat/>
    <w:uiPriority w:val="99"/>
    <w:rPr>
      <w:rFonts w:eastAsia="仿宋"/>
      <w:kern w:val="2"/>
      <w:sz w:val="18"/>
      <w:szCs w:val="24"/>
    </w:rPr>
  </w:style>
  <w:style w:type="character" w:customStyle="1" w:styleId="46">
    <w:name w:val="font01"/>
    <w:qFormat/>
    <w:uiPriority w:val="0"/>
    <w:rPr>
      <w:rFonts w:hint="eastAsia" w:ascii="楷体_GB2312" w:eastAsia="楷体_GB2312" w:cs="楷体_GB2312"/>
      <w:color w:val="000000"/>
      <w:sz w:val="24"/>
      <w:szCs w:val="24"/>
      <w:u w:val="none"/>
    </w:rPr>
  </w:style>
  <w:style w:type="character" w:customStyle="1" w:styleId="47">
    <w:name w:val="页脚 Char"/>
    <w:qFormat/>
    <w:uiPriority w:val="99"/>
    <w:rPr>
      <w:rFonts w:eastAsia="Courier New"/>
      <w:kern w:val="2"/>
      <w:sz w:val="18"/>
      <w:szCs w:val="24"/>
    </w:rPr>
  </w:style>
  <w:style w:type="character" w:customStyle="1" w:styleId="48">
    <w:name w:val="checked"/>
    <w:qFormat/>
    <w:uiPriority w:val="0"/>
    <w:rPr>
      <w:color w:val="5390CD"/>
    </w:rPr>
  </w:style>
  <w:style w:type="character" w:customStyle="1" w:styleId="49">
    <w:name w:val="标题 1 字符"/>
    <w:link w:val="4"/>
    <w:qFormat/>
    <w:uiPriority w:val="0"/>
    <w:rPr>
      <w:rFonts w:ascii="Calibri" w:hAnsi="Calibri" w:eastAsia="仿宋" w:cs="Times New Roman"/>
      <w:b/>
      <w:kern w:val="44"/>
      <w:sz w:val="44"/>
      <w:szCs w:val="24"/>
    </w:rPr>
  </w:style>
  <w:style w:type="paragraph" w:styleId="50">
    <w:name w:val=""/>
    <w:basedOn w:val="1"/>
    <w:next w:val="1"/>
    <w:uiPriority w:val="0"/>
    <w:pPr>
      <w:pBdr>
        <w:bottom w:val="single" w:color="auto" w:sz="6" w:space="1"/>
      </w:pBdr>
      <w:jc w:val="center"/>
    </w:pPr>
    <w:rPr>
      <w:rFonts w:ascii="Arial" w:eastAsia="宋体"/>
      <w:vanish/>
      <w:sz w:val="16"/>
    </w:rPr>
  </w:style>
  <w:style w:type="paragraph" w:styleId="51">
    <w:name w:val=""/>
    <w:basedOn w:val="1"/>
    <w:next w:val="1"/>
    <w:uiPriority w:val="0"/>
    <w:pPr>
      <w:pBdr>
        <w:top w:val="single" w:color="auto" w:sz="6" w:space="1"/>
      </w:pBdr>
      <w:jc w:val="center"/>
    </w:pPr>
    <w:rPr>
      <w:rFonts w:ascii="Arial" w:eastAsia="宋体"/>
      <w:vanish/>
      <w:sz w:val="16"/>
    </w:rPr>
  </w:style>
  <w:style w:type="character" w:customStyle="1" w:styleId="52">
    <w:name w:val="control-label-text1"/>
    <w:basedOn w:val="20"/>
    <w:uiPriority w:val="0"/>
  </w:style>
  <w:style w:type="character" w:customStyle="1" w:styleId="53">
    <w:name w:val="hour_am"/>
    <w:basedOn w:val="20"/>
    <w:uiPriority w:val="0"/>
  </w:style>
  <w:style w:type="character" w:customStyle="1" w:styleId="54">
    <w:name w:val="glyphicon"/>
    <w:basedOn w:val="20"/>
    <w:uiPriority w:val="0"/>
  </w:style>
  <w:style w:type="character" w:customStyle="1" w:styleId="55">
    <w:name w:val="icon"/>
    <w:basedOn w:val="20"/>
    <w:uiPriority w:val="0"/>
  </w:style>
  <w:style w:type="character" w:customStyle="1" w:styleId="56">
    <w:name w:val="hour_pm"/>
    <w:basedOn w:val="20"/>
    <w:uiPriority w:val="0"/>
  </w:style>
  <w:style w:type="character" w:customStyle="1" w:styleId="57">
    <w:name w:val="hover1"/>
    <w:basedOn w:val="20"/>
    <w:uiPriority w:val="0"/>
    <w:rPr>
      <w:shd w:val="clear" w:fill="EEEEEE"/>
    </w:rPr>
  </w:style>
  <w:style w:type="character" w:customStyle="1" w:styleId="58">
    <w:name w:val="indent"/>
    <w:basedOn w:val="20"/>
    <w:uiPriority w:val="0"/>
  </w:style>
  <w:style w:type="character" w:customStyle="1" w:styleId="59">
    <w:name w:val="old"/>
    <w:basedOn w:val="20"/>
    <w:uiPriority w:val="0"/>
    <w:rPr>
      <w:color w:val="999999"/>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04A4A8-016E-4983-8AC3-8BD0312F968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6924</Words>
  <Characters>39472</Characters>
  <Lines>328</Lines>
  <Paragraphs>92</Paragraphs>
  <TotalTime>1</TotalTime>
  <ScaleCrop>false</ScaleCrop>
  <LinksUpToDate>false</LinksUpToDate>
  <CharactersWithSpaces>46304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2021-08-19T06:55:00Z</dcterms:created>
  <dc:creator>meimei</dc:creator>
  <cp:lastModifiedBy>Administrator</cp:lastModifiedBy>
  <cp:lastPrinted>2020-12-28T06:26:00Z</cp:lastPrinted>
  <dcterms:modified xsi:type="dcterms:W3CDTF">2021-08-23T07:51:55Z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EEC6EF7AE87D4423B4E60CECA77B6CAE</vt:lpwstr>
  </property>
</Properties>
</file>