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val="0"/>
        <w:snapToGrid w:val="0"/>
        <w:jc w:val="center"/>
        <w:outlineLvl w:val="0"/>
        <w:rPr>
          <w:rFonts w:ascii="Times New Roman" w:hAnsi="Times New Roman" w:eastAsia="黑体" w:cs="Times New Roman"/>
          <w:b/>
          <w:color w:val="000000" w:themeColor="text1"/>
          <w:sz w:val="36"/>
          <w:szCs w:val="36"/>
          <w:highlight w:val="none"/>
          <w:lang w:val="en-US" w:bidi="ar-SA"/>
          <w14:textFill>
            <w14:solidFill>
              <w14:schemeClr w14:val="tx1"/>
            </w14:solidFill>
          </w14:textFill>
        </w:rPr>
      </w:pPr>
      <w:r>
        <w:rPr>
          <w:rFonts w:ascii="Times New Roman" w:hAnsi="Times New Roman" w:eastAsia="黑体" w:cs="Times New Roman"/>
          <w:b/>
          <w:color w:val="000000" w:themeColor="text1"/>
          <w:sz w:val="36"/>
          <w:szCs w:val="36"/>
          <w:highlight w:val="none"/>
          <w:lang w:val="en-US" w:bidi="ar-SA"/>
          <w14:textFill>
            <w14:solidFill>
              <w14:schemeClr w14:val="tx1"/>
            </w14:solidFill>
          </w14:textFill>
        </w:rPr>
        <w:t>第一章招标公告</w:t>
      </w:r>
    </w:p>
    <w:p>
      <w:pPr>
        <w:autoSpaceDE/>
        <w:autoSpaceDN/>
        <w:adjustRightInd w:val="0"/>
        <w:snapToGrid w:val="0"/>
        <w:jc w:val="center"/>
        <w:rPr>
          <w:rFonts w:ascii="Times New Roman" w:hAnsi="Times New Roman" w:eastAsia="黑体" w:cs="Times New Roman"/>
          <w:color w:val="000000" w:themeColor="text1"/>
          <w:kern w:val="2"/>
          <w:sz w:val="30"/>
          <w:szCs w:val="30"/>
          <w:highlight w:val="none"/>
          <w:lang w:val="en-US" w:bidi="ar-SA"/>
          <w14:textFill>
            <w14:solidFill>
              <w14:schemeClr w14:val="tx1"/>
            </w14:solidFill>
          </w14:textFill>
        </w:rPr>
      </w:pPr>
    </w:p>
    <w:p>
      <w:pPr>
        <w:autoSpaceDE/>
        <w:autoSpaceDN/>
        <w:adjustRightInd w:val="0"/>
        <w:snapToGrid w:val="0"/>
        <w:jc w:val="center"/>
        <w:rPr>
          <w:rFonts w:ascii="Times New Roman" w:hAnsi="Times New Roman" w:eastAsia="黑体" w:cs="Times New Roman"/>
          <w:color w:val="000000" w:themeColor="text1"/>
          <w:kern w:val="2"/>
          <w:sz w:val="30"/>
          <w:szCs w:val="30"/>
          <w:highlight w:val="none"/>
          <w:lang w:val="en-US" w:bidi="ar-SA"/>
          <w14:textFill>
            <w14:solidFill>
              <w14:schemeClr w14:val="tx1"/>
            </w14:solidFill>
          </w14:textFill>
        </w:rPr>
      </w:pPr>
      <w:r>
        <w:rPr>
          <w:rFonts w:hint="default" w:ascii="Times New Roman" w:hAnsi="Times New Roman" w:eastAsia="黑体" w:cs="Times New Roman"/>
          <w:color w:val="000000" w:themeColor="text1"/>
          <w:kern w:val="2"/>
          <w:sz w:val="30"/>
          <w:szCs w:val="30"/>
          <w:highlight w:val="none"/>
          <w:lang w:val="en-US" w:bidi="ar-SA"/>
          <w14:textFill>
            <w14:solidFill>
              <w14:schemeClr w14:val="tx1"/>
            </w14:solidFill>
          </w14:textFill>
        </w:rPr>
        <w:t>国家电网有限公司营销项目</w:t>
      </w:r>
      <w:r>
        <w:rPr>
          <w:rFonts w:ascii="Times New Roman" w:hAnsi="Times New Roman" w:eastAsia="黑体" w:cs="Times New Roman"/>
          <w:color w:val="000000" w:themeColor="text1"/>
          <w:kern w:val="2"/>
          <w:sz w:val="30"/>
          <w:szCs w:val="30"/>
          <w:highlight w:val="none"/>
          <w:lang w:val="en-US" w:bidi="ar-SA"/>
          <w14:textFill>
            <w14:solidFill>
              <w14:schemeClr w14:val="tx1"/>
            </w14:solidFill>
          </w14:textFill>
        </w:rPr>
        <w:t>2020年</w:t>
      </w:r>
    </w:p>
    <w:p>
      <w:pPr>
        <w:autoSpaceDE/>
        <w:autoSpaceDN/>
        <w:adjustRightInd w:val="0"/>
        <w:snapToGrid w:val="0"/>
        <w:jc w:val="center"/>
        <w:rPr>
          <w:rFonts w:ascii="Times New Roman" w:hAnsi="Times New Roman" w:eastAsia="黑体" w:cs="Times New Roman"/>
          <w:color w:val="000000" w:themeColor="text1"/>
          <w:kern w:val="2"/>
          <w:sz w:val="30"/>
          <w:szCs w:val="30"/>
          <w:highlight w:val="none"/>
          <w:lang w:val="en-US" w:bidi="ar-SA"/>
          <w14:textFill>
            <w14:solidFill>
              <w14:schemeClr w14:val="tx1"/>
            </w14:solidFill>
          </w14:textFill>
        </w:rPr>
      </w:pPr>
      <w:r>
        <w:rPr>
          <w:rFonts w:hint="default" w:ascii="Times New Roman" w:hAnsi="Times New Roman" w:eastAsia="黑体" w:cs="Times New Roman"/>
          <w:color w:val="000000" w:themeColor="text1"/>
          <w:kern w:val="2"/>
          <w:sz w:val="30"/>
          <w:szCs w:val="30"/>
          <w:highlight w:val="none"/>
          <w:lang w:val="en-US" w:bidi="ar-SA"/>
          <w14:textFill>
            <w14:solidFill>
              <w14:schemeClr w14:val="tx1"/>
            </w14:solidFill>
          </w14:textFill>
        </w:rPr>
        <w:t>第二次电能表（含用电信息采集）招标采购</w:t>
      </w:r>
    </w:p>
    <w:p>
      <w:pPr>
        <w:autoSpaceDE/>
        <w:autoSpaceDN/>
        <w:adjustRightInd w:val="0"/>
        <w:snapToGrid w:val="0"/>
        <w:jc w:val="center"/>
        <w:rPr>
          <w:rFonts w:ascii="Times New Roman" w:hAnsi="Times New Roman" w:eastAsia="黑体" w:cs="Times New Roman"/>
          <w:color w:val="000000" w:themeColor="text1"/>
          <w:kern w:val="2"/>
          <w:sz w:val="32"/>
          <w:szCs w:val="32"/>
          <w:highlight w:val="none"/>
          <w:lang w:val="en-US"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bidi="ar-SA"/>
          <w14:textFill>
            <w14:solidFill>
              <w14:schemeClr w14:val="tx1"/>
            </w14:solidFill>
          </w14:textFill>
        </w:rPr>
        <w:t>招标公告</w:t>
      </w:r>
    </w:p>
    <w:p>
      <w:pPr>
        <w:autoSpaceDE/>
        <w:autoSpaceDN/>
        <w:adjustRightInd w:val="0"/>
        <w:snapToGrid w:val="0"/>
        <w:jc w:val="center"/>
        <w:rPr>
          <w:rFonts w:ascii="Times New Roman" w:hAnsi="Times New Roman" w:cs="Times New Roman"/>
          <w:color w:val="000000" w:themeColor="text1"/>
          <w:sz w:val="20"/>
          <w:highlight w:val="none"/>
          <w:lang w:val="en-US"/>
          <w14:textFill>
            <w14:solidFill>
              <w14:schemeClr w14:val="tx1"/>
            </w14:solidFill>
          </w14:textFill>
        </w:rPr>
      </w:pPr>
      <w:r>
        <w:rPr>
          <w:rFonts w:hint="default" w:ascii="Times New Roman" w:hAnsi="Times New Roman" w:cs="Times New Roman"/>
          <w:b/>
          <w:color w:val="000000" w:themeColor="text1"/>
          <w:kern w:val="2"/>
          <w:sz w:val="21"/>
          <w:highlight w:val="none"/>
          <w:lang w:val="en-US" w:bidi="ar-SA"/>
          <w14:textFill>
            <w14:solidFill>
              <w14:schemeClr w14:val="tx1"/>
            </w14:solidFill>
          </w14:textFill>
        </w:rPr>
        <w:t>招标编号：</w:t>
      </w:r>
      <w:r>
        <w:rPr>
          <w:rFonts w:ascii="Times New Roman" w:hAnsi="Times New Roman" w:cs="Times New Roman"/>
          <w:b/>
          <w:color w:val="000000" w:themeColor="text1"/>
          <w:kern w:val="2"/>
          <w:sz w:val="21"/>
          <w:highlight w:val="none"/>
          <w:lang w:val="en-US" w:bidi="ar-SA"/>
          <w14:textFill>
            <w14:solidFill>
              <w14:schemeClr w14:val="tx1"/>
            </w14:solidFill>
          </w14:textFill>
        </w:rPr>
        <w:t>0711-20OTL</w:t>
      </w:r>
      <w:r>
        <w:rPr>
          <w:rFonts w:hint="default" w:ascii="Times New Roman" w:hAnsi="Times New Roman" w:cs="Times New Roman"/>
          <w:b/>
          <w:color w:val="000000" w:themeColor="text1"/>
          <w:kern w:val="2"/>
          <w:sz w:val="21"/>
          <w:highlight w:val="none"/>
          <w:lang w:val="en-US" w:bidi="ar-SA"/>
          <w14:textFill>
            <w14:solidFill>
              <w14:schemeClr w14:val="tx1"/>
            </w14:solidFill>
          </w14:textFill>
        </w:rPr>
        <w:t>24422001</w:t>
      </w:r>
    </w:p>
    <w:p>
      <w:pPr>
        <w:pStyle w:val="10"/>
        <w:rPr>
          <w:rFonts w:ascii="Times New Roman" w:hAnsi="Times New Roman" w:cs="Times New Roman"/>
          <w:color w:val="000000" w:themeColor="text1"/>
          <w:sz w:val="20"/>
          <w:highlight w:val="none"/>
          <w14:textFill>
            <w14:solidFill>
              <w14:schemeClr w14:val="tx1"/>
            </w14:solidFill>
          </w14:textFill>
        </w:rPr>
      </w:pPr>
    </w:p>
    <w:p>
      <w:pPr>
        <w:pStyle w:val="5"/>
        <w:tabs>
          <w:tab w:val="left" w:pos="802"/>
        </w:tabs>
        <w:spacing w:before="92"/>
        <w:ind w:left="0" w:firstLine="0"/>
        <w:rPr>
          <w:rFonts w:ascii="Times New Roman" w:hAnsi="Times New Roman" w:eastAsia="黑体" w:cs="Times New Roman"/>
          <w:color w:val="000000" w:themeColor="text1"/>
          <w:highlight w:val="none"/>
          <w14:textFill>
            <w14:solidFill>
              <w14:schemeClr w14:val="tx1"/>
            </w14:solidFill>
          </w14:textFill>
        </w:rPr>
      </w:pPr>
      <w:bookmarkStart w:id="0" w:name="_bookmark2"/>
      <w:bookmarkEnd w:id="0"/>
      <w:r>
        <w:rPr>
          <w:rFonts w:hint="default" w:ascii="Times New Roman" w:hAnsi="Times New Roman" w:eastAsia="黑体" w:cs="Times New Roman"/>
          <w:color w:val="000000" w:themeColor="text1"/>
          <w:highlight w:val="none"/>
          <w14:textFill>
            <w14:solidFill>
              <w14:schemeClr w14:val="tx1"/>
            </w14:solidFill>
          </w14:textFill>
        </w:rPr>
        <w:t>1.</w:t>
      </w:r>
      <w:r>
        <w:rPr>
          <w:rFonts w:ascii="Times New Roman" w:hAnsi="Times New Roman" w:eastAsia="黑体" w:cs="Times New Roman"/>
          <w:color w:val="000000" w:themeColor="text1"/>
          <w:highlight w:val="none"/>
          <w14:textFill>
            <w14:solidFill>
              <w14:schemeClr w14:val="tx1"/>
            </w14:solidFill>
          </w14:textFill>
        </w:rPr>
        <w:t>招标条件</w:t>
      </w:r>
    </w:p>
    <w:p>
      <w:pPr>
        <w:pStyle w:val="10"/>
        <w:tabs>
          <w:tab w:val="left" w:pos="2688"/>
        </w:tabs>
        <w:ind w:firstLine="420"/>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项目建设单位为国家电网有限公司或其所属单位（以下简称“项目单位”），建设资金来自企业自有资金，资金来源</w:t>
      </w:r>
      <w:r>
        <w:rPr>
          <w:rFonts w:ascii="Times New Roman" w:hAnsi="Times New Roman" w:cs="Times New Roman"/>
          <w:color w:val="000000" w:themeColor="text1"/>
          <w:highlight w:val="none"/>
          <w14:textFill>
            <w14:solidFill>
              <w14:schemeClr w14:val="tx1"/>
            </w14:solidFill>
          </w14:textFill>
        </w:rPr>
        <w:t>已落实，招标人为国家电网有限公司，并委托国网物资有限公司为招标代理机构。项目已具备招标条件，现对该项目进行</w:t>
      </w:r>
      <w:r>
        <w:rPr>
          <w:rFonts w:hint="default" w:ascii="Times New Roman" w:hAnsi="Times New Roman" w:cs="Times New Roman"/>
          <w:color w:val="000000" w:themeColor="text1"/>
          <w:highlight w:val="none"/>
          <w14:textFill>
            <w14:solidFill>
              <w14:schemeClr w14:val="tx1"/>
            </w14:solidFill>
          </w14:textFill>
        </w:rPr>
        <w:t>公开</w:t>
      </w:r>
      <w:r>
        <w:rPr>
          <w:rFonts w:ascii="Times New Roman" w:hAnsi="Times New Roman" w:cs="Times New Roman"/>
          <w:color w:val="000000" w:themeColor="text1"/>
          <w:highlight w:val="none"/>
          <w14:textFill>
            <w14:solidFill>
              <w14:schemeClr w14:val="tx1"/>
            </w14:solidFill>
          </w14:textFill>
        </w:rPr>
        <w:t>招标。</w:t>
      </w:r>
    </w:p>
    <w:p>
      <w:pPr>
        <w:pStyle w:val="10"/>
        <w:tabs>
          <w:tab w:val="left" w:pos="2688"/>
        </w:tabs>
        <w:ind w:firstLine="420"/>
        <w:rPr>
          <w:rFonts w:ascii="Times New Roman" w:hAnsi="Times New Roman" w:cs="Times New Roman"/>
          <w:color w:val="000000" w:themeColor="text1"/>
          <w:spacing w:val="-3"/>
          <w:highlight w:val="none"/>
          <w14:textFill>
            <w14:solidFill>
              <w14:schemeClr w14:val="tx1"/>
            </w14:solidFill>
          </w14:textFill>
        </w:rPr>
      </w:pPr>
      <w:r>
        <w:rPr>
          <w:rFonts w:hint="default" w:ascii="Times New Roman" w:hAnsi="Times New Roman" w:cs="Times New Roman"/>
          <w:color w:val="000000" w:themeColor="text1"/>
          <w:spacing w:val="-3"/>
          <w:highlight w:val="none"/>
          <w14:textFill>
            <w14:solidFill>
              <w14:schemeClr w14:val="tx1"/>
            </w14:solidFill>
          </w14:textFill>
        </w:rPr>
        <w:t>本项目倡导潜在投标人采用技术创新工艺、使用节能环保材料，用先进标准引领产品质量提升，有效治理质量突出问题，推动形成“节约优先”、“保护优先”、优质优价的采购机制</w:t>
      </w:r>
      <w:r>
        <w:rPr>
          <w:rFonts w:hint="default" w:ascii="Times New Roman" w:hAnsi="Times New Roman" w:cs="Times New Roman"/>
          <w:color w:val="000000" w:themeColor="text1"/>
          <w:highlight w:val="none"/>
          <w14:textFill>
            <w14:solidFill>
              <w14:schemeClr w14:val="tx1"/>
            </w14:solidFill>
          </w14:textFill>
        </w:rPr>
        <w:t>。</w:t>
      </w:r>
    </w:p>
    <w:p>
      <w:pPr>
        <w:pStyle w:val="10"/>
        <w:tabs>
          <w:tab w:val="left" w:pos="2688"/>
        </w:tabs>
        <w:ind w:firstLine="420"/>
        <w:jc w:val="both"/>
        <w:rPr>
          <w:rFonts w:ascii="Times New Roman" w:hAnsi="Times New Roman" w:cs="Times New Roman"/>
          <w:color w:val="000000" w:themeColor="text1"/>
          <w:spacing w:val="-3"/>
          <w:highlight w:val="none"/>
          <w14:textFill>
            <w14:solidFill>
              <w14:schemeClr w14:val="tx1"/>
            </w14:solidFill>
          </w14:textFill>
        </w:rPr>
      </w:pPr>
    </w:p>
    <w:p>
      <w:pPr>
        <w:pStyle w:val="5"/>
        <w:tabs>
          <w:tab w:val="left" w:pos="802"/>
        </w:tabs>
        <w:spacing w:before="92"/>
        <w:ind w:left="0" w:firstLine="0"/>
        <w:rPr>
          <w:rFonts w:ascii="Times New Roman" w:hAnsi="Times New Roman" w:eastAsia="黑体" w:cs="Times New Roman"/>
          <w:color w:val="000000" w:themeColor="text1"/>
          <w:highlight w:val="none"/>
          <w14:textFill>
            <w14:solidFill>
              <w14:schemeClr w14:val="tx1"/>
            </w14:solidFill>
          </w14:textFill>
        </w:rPr>
      </w:pPr>
      <w:bookmarkStart w:id="1" w:name="_bookmark3"/>
      <w:bookmarkEnd w:id="1"/>
      <w:r>
        <w:rPr>
          <w:rFonts w:hint="default" w:ascii="Times New Roman" w:hAnsi="Times New Roman" w:eastAsia="黑体" w:cs="Times New Roman"/>
          <w:color w:val="000000" w:themeColor="text1"/>
          <w:highlight w:val="none"/>
          <w14:textFill>
            <w14:solidFill>
              <w14:schemeClr w14:val="tx1"/>
            </w14:solidFill>
          </w14:textFill>
        </w:rPr>
        <w:t>2.</w:t>
      </w:r>
      <w:r>
        <w:rPr>
          <w:rFonts w:ascii="Times New Roman" w:hAnsi="Times New Roman" w:eastAsia="黑体" w:cs="Times New Roman"/>
          <w:color w:val="000000" w:themeColor="text1"/>
          <w:highlight w:val="none"/>
          <w14:textFill>
            <w14:solidFill>
              <w14:schemeClr w14:val="tx1"/>
            </w14:solidFill>
          </w14:textFill>
        </w:rPr>
        <w:t>项目概况与招标范围</w:t>
      </w:r>
    </w:p>
    <w:p>
      <w:pPr>
        <w:adjustRightInd w:val="0"/>
        <w:snapToGrid w:val="0"/>
        <w:spacing w:line="276" w:lineRule="auto"/>
        <w:ind w:firstLine="435"/>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具体项目概况与招标范围详见货物清单</w:t>
      </w:r>
      <w:r>
        <w:rPr>
          <w:rFonts w:hint="default" w:ascii="Times New Roman" w:hAnsi="Times New Roman" w:cs="Times New Roman"/>
          <w:color w:val="000000" w:themeColor="text1"/>
          <w:highlight w:val="none"/>
          <w14:textFill>
            <w14:solidFill>
              <w14:schemeClr w14:val="tx1"/>
            </w14:solidFill>
          </w14:textFill>
        </w:rPr>
        <w:t>。</w:t>
      </w:r>
    </w:p>
    <w:tbl>
      <w:tblPr>
        <w:tblStyle w:val="19"/>
        <w:tblW w:w="9740" w:type="dxa"/>
        <w:jc w:val="center"/>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97"/>
        <w:gridCol w:w="5643"/>
      </w:tblGrid>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4097" w:type="dxa"/>
            <w:tcBorders>
              <w:bottom w:val="single" w:color="auto" w:sz="4" w:space="0"/>
            </w:tcBorders>
            <w:vAlign w:val="bottom"/>
          </w:tcPr>
          <w:p>
            <w:pPr>
              <w:adjustRightInd w:val="0"/>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分标编号</w:t>
            </w:r>
          </w:p>
        </w:tc>
        <w:tc>
          <w:tcPr>
            <w:tcW w:w="5643" w:type="dxa"/>
            <w:tcBorders>
              <w:bottom w:val="single" w:color="auto" w:sz="4" w:space="0"/>
            </w:tcBorders>
            <w:vAlign w:val="bottom"/>
          </w:tcPr>
          <w:p>
            <w:pPr>
              <w:adjustRightInd w:val="0"/>
              <w:jc w:val="center"/>
              <w:rPr>
                <w:rFonts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分标名称</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 w:hRule="atLeast"/>
          <w:jc w:val="center"/>
        </w:trPr>
        <w:tc>
          <w:tcPr>
            <w:tcW w:w="4097"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SG2027-1307-23001</w:t>
            </w:r>
          </w:p>
        </w:tc>
        <w:tc>
          <w:tcPr>
            <w:tcW w:w="5643"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lang w:val="en-US" w:bidi="ar"/>
                <w14:textFill>
                  <w14:solidFill>
                    <w14:schemeClr w14:val="tx1"/>
                  </w14:solidFill>
                </w14:textFill>
              </w:rPr>
              <w:t>A级</w:t>
            </w:r>
            <w:r>
              <w:rPr>
                <w:rFonts w:hint="eastAsia" w:ascii="Times New Roman" w:hAnsi="Times New Roman" w:cs="Times New Roman"/>
                <w:color w:val="000000" w:themeColor="text1"/>
                <w:sz w:val="20"/>
                <w:szCs w:val="20"/>
                <w:highlight w:val="none"/>
                <w:lang w:val="en-US" w:bidi="ar"/>
                <w14:textFill>
                  <w14:solidFill>
                    <w14:schemeClr w14:val="tx1"/>
                  </w14:solidFill>
                </w14:textFill>
              </w:rPr>
              <w:t>（2级）</w:t>
            </w:r>
            <w:r>
              <w:rPr>
                <w:rFonts w:ascii="Times New Roman" w:hAnsi="Times New Roman" w:cs="Times New Roman"/>
                <w:color w:val="000000" w:themeColor="text1"/>
                <w:sz w:val="20"/>
                <w:szCs w:val="20"/>
                <w:highlight w:val="none"/>
                <w:lang w:val="en-US" w:bidi="ar"/>
                <w14:textFill>
                  <w14:solidFill>
                    <w14:schemeClr w14:val="tx1"/>
                  </w14:solidFill>
                </w14:textFill>
              </w:rPr>
              <w:t>单相智能电能表</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 w:hRule="atLeast"/>
          <w:jc w:val="center"/>
        </w:trPr>
        <w:tc>
          <w:tcPr>
            <w:tcW w:w="4097"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SG2027-1307-23002</w:t>
            </w:r>
          </w:p>
        </w:tc>
        <w:tc>
          <w:tcPr>
            <w:tcW w:w="5643"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lang w:val="en-US" w:bidi="ar"/>
                <w14:textFill>
                  <w14:solidFill>
                    <w14:schemeClr w14:val="tx1"/>
                  </w14:solidFill>
                </w14:textFill>
              </w:rPr>
              <w:t>B级</w:t>
            </w:r>
            <w:r>
              <w:rPr>
                <w:rFonts w:hint="eastAsia" w:ascii="Times New Roman" w:hAnsi="Times New Roman" w:cs="Times New Roman"/>
                <w:color w:val="000000" w:themeColor="text1"/>
                <w:sz w:val="20"/>
                <w:szCs w:val="20"/>
                <w:highlight w:val="none"/>
                <w:lang w:val="en-US" w:bidi="ar"/>
                <w14:textFill>
                  <w14:solidFill>
                    <w14:schemeClr w14:val="tx1"/>
                  </w14:solidFill>
                </w14:textFill>
              </w:rPr>
              <w:t>（1级）</w:t>
            </w:r>
            <w:r>
              <w:rPr>
                <w:rFonts w:ascii="Times New Roman" w:hAnsi="Times New Roman" w:cs="Times New Roman"/>
                <w:color w:val="000000" w:themeColor="text1"/>
                <w:sz w:val="20"/>
                <w:szCs w:val="20"/>
                <w:highlight w:val="none"/>
                <w:lang w:val="en-US" w:bidi="ar"/>
                <w14:textFill>
                  <w14:solidFill>
                    <w14:schemeClr w14:val="tx1"/>
                  </w14:solidFill>
                </w14:textFill>
              </w:rPr>
              <w:t>三相智能电能表</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 w:hRule="atLeast"/>
          <w:jc w:val="center"/>
        </w:trPr>
        <w:tc>
          <w:tcPr>
            <w:tcW w:w="4097"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SG2027-1307-23003</w:t>
            </w:r>
          </w:p>
        </w:tc>
        <w:tc>
          <w:tcPr>
            <w:tcW w:w="5643"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lang w:val="en-US" w:bidi="ar"/>
                <w14:textFill>
                  <w14:solidFill>
                    <w14:schemeClr w14:val="tx1"/>
                  </w14:solidFill>
                </w14:textFill>
              </w:rPr>
              <w:t>C级</w:t>
            </w:r>
            <w:r>
              <w:rPr>
                <w:rFonts w:hint="eastAsia" w:ascii="Times New Roman" w:hAnsi="Times New Roman" w:cs="Times New Roman"/>
                <w:color w:val="000000" w:themeColor="text1"/>
                <w:sz w:val="20"/>
                <w:szCs w:val="20"/>
                <w:highlight w:val="none"/>
                <w:lang w:val="en-US" w:bidi="ar"/>
                <w14:textFill>
                  <w14:solidFill>
                    <w14:schemeClr w14:val="tx1"/>
                  </w14:solidFill>
                </w14:textFill>
              </w:rPr>
              <w:t>（0.5S级）</w:t>
            </w:r>
            <w:r>
              <w:rPr>
                <w:rFonts w:ascii="Times New Roman" w:hAnsi="Times New Roman" w:cs="Times New Roman"/>
                <w:color w:val="000000" w:themeColor="text1"/>
                <w:sz w:val="20"/>
                <w:szCs w:val="20"/>
                <w:highlight w:val="none"/>
                <w:lang w:val="en-US" w:bidi="ar"/>
                <w14:textFill>
                  <w14:solidFill>
                    <w14:schemeClr w14:val="tx1"/>
                  </w14:solidFill>
                </w14:textFill>
              </w:rPr>
              <w:t>三相智能电能表</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 w:hRule="atLeast"/>
          <w:jc w:val="center"/>
        </w:trPr>
        <w:tc>
          <w:tcPr>
            <w:tcW w:w="4097"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SG2027-1307-23004</w:t>
            </w:r>
          </w:p>
        </w:tc>
        <w:tc>
          <w:tcPr>
            <w:tcW w:w="5643"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lang w:val="en-US" w:bidi="ar"/>
                <w14:textFill>
                  <w14:solidFill>
                    <w14:schemeClr w14:val="tx1"/>
                  </w14:solidFill>
                </w14:textFill>
              </w:rPr>
              <w:t>D级</w:t>
            </w:r>
            <w:r>
              <w:rPr>
                <w:rFonts w:hint="eastAsia" w:ascii="Times New Roman" w:hAnsi="Times New Roman" w:cs="Times New Roman"/>
                <w:color w:val="000000" w:themeColor="text1"/>
                <w:sz w:val="20"/>
                <w:szCs w:val="20"/>
                <w:highlight w:val="none"/>
                <w:lang w:val="en-US" w:bidi="ar"/>
                <w14:textFill>
                  <w14:solidFill>
                    <w14:schemeClr w14:val="tx1"/>
                  </w14:solidFill>
                </w14:textFill>
              </w:rPr>
              <w:t>（0.2S级）</w:t>
            </w:r>
            <w:r>
              <w:rPr>
                <w:rFonts w:ascii="Times New Roman" w:hAnsi="Times New Roman" w:cs="Times New Roman"/>
                <w:color w:val="000000" w:themeColor="text1"/>
                <w:sz w:val="20"/>
                <w:szCs w:val="20"/>
                <w:highlight w:val="none"/>
                <w:lang w:val="en-US" w:bidi="ar"/>
                <w14:textFill>
                  <w14:solidFill>
                    <w14:schemeClr w14:val="tx1"/>
                  </w14:solidFill>
                </w14:textFill>
              </w:rPr>
              <w:t>三相智能电能表</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 w:hRule="atLeast"/>
          <w:jc w:val="center"/>
        </w:trPr>
        <w:tc>
          <w:tcPr>
            <w:tcW w:w="4097"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SG2027-1108-23005</w:t>
            </w:r>
          </w:p>
        </w:tc>
        <w:tc>
          <w:tcPr>
            <w:tcW w:w="5643"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集中器、采集器</w:t>
            </w:r>
          </w:p>
        </w:tc>
      </w:tr>
      <w:tr>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53" w:hRule="atLeast"/>
          <w:jc w:val="center"/>
        </w:trPr>
        <w:tc>
          <w:tcPr>
            <w:tcW w:w="4097"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SG2027-1108-23006</w:t>
            </w:r>
          </w:p>
        </w:tc>
        <w:tc>
          <w:tcPr>
            <w:tcW w:w="5643" w:type="dxa"/>
            <w:vAlign w:val="center"/>
          </w:tcPr>
          <w:p>
            <w:pPr>
              <w:widowControl/>
              <w:jc w:val="center"/>
              <w:textAlignment w:val="center"/>
              <w:rPr>
                <w:rFonts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bidi="ar"/>
                <w14:textFill>
                  <w14:solidFill>
                    <w14:schemeClr w14:val="tx1"/>
                  </w14:solidFill>
                </w14:textFill>
              </w:rPr>
              <w:t>专变采集终端</w:t>
            </w:r>
          </w:p>
        </w:tc>
      </w:tr>
    </w:tbl>
    <w:p>
      <w:pPr>
        <w:adjustRightInd w:val="0"/>
        <w:snapToGrid w:val="0"/>
        <w:spacing w:line="276" w:lineRule="auto"/>
        <w:rPr>
          <w:rFonts w:ascii="Times New Roman" w:hAnsi="Times New Roman" w:cs="Times New Roman"/>
          <w:color w:val="000000" w:themeColor="text1"/>
          <w:highlight w:val="none"/>
          <w14:textFill>
            <w14:solidFill>
              <w14:schemeClr w14:val="tx1"/>
            </w14:solidFill>
          </w14:textFill>
        </w:rPr>
      </w:pPr>
    </w:p>
    <w:p>
      <w:pPr>
        <w:pStyle w:val="5"/>
        <w:tabs>
          <w:tab w:val="left" w:pos="802"/>
        </w:tabs>
        <w:spacing w:before="92"/>
        <w:ind w:left="0" w:firstLine="0"/>
        <w:rPr>
          <w:rFonts w:ascii="Times New Roman" w:hAnsi="Times New Roman" w:eastAsia="黑体" w:cs="Times New Roman"/>
          <w:color w:val="000000" w:themeColor="text1"/>
          <w:highlight w:val="none"/>
          <w14:textFill>
            <w14:solidFill>
              <w14:schemeClr w14:val="tx1"/>
            </w14:solidFill>
          </w14:textFill>
        </w:rPr>
      </w:pPr>
      <w:bookmarkStart w:id="2" w:name="_bookmark4"/>
      <w:bookmarkEnd w:id="2"/>
      <w:r>
        <w:rPr>
          <w:rFonts w:hint="default" w:ascii="Times New Roman" w:hAnsi="Times New Roman" w:eastAsia="黑体" w:cs="Times New Roman"/>
          <w:color w:val="000000" w:themeColor="text1"/>
          <w:highlight w:val="none"/>
          <w14:textFill>
            <w14:solidFill>
              <w14:schemeClr w14:val="tx1"/>
            </w14:solidFill>
          </w14:textFill>
        </w:rPr>
        <w:t>3.</w:t>
      </w:r>
      <w:r>
        <w:rPr>
          <w:rFonts w:ascii="Times New Roman" w:hAnsi="Times New Roman" w:eastAsia="黑体" w:cs="Times New Roman"/>
          <w:color w:val="000000" w:themeColor="text1"/>
          <w:highlight w:val="none"/>
          <w14:textFill>
            <w14:solidFill>
              <w14:schemeClr w14:val="tx1"/>
            </w14:solidFill>
          </w14:textFill>
        </w:rPr>
        <w:t>投标人资格要求</w:t>
      </w:r>
    </w:p>
    <w:p>
      <w:pPr>
        <w:tabs>
          <w:tab w:val="left" w:pos="1190"/>
          <w:tab w:val="left" w:pos="4694"/>
          <w:tab w:val="left" w:pos="6290"/>
        </w:tabs>
        <w:ind w:firstLine="420" w:firstLineChars="200"/>
        <w:jc w:val="both"/>
        <w:rPr>
          <w:rFonts w:ascii="Times New Roman" w:hAnsi="Times New Roman" w:cs="Times New Roman"/>
          <w:color w:val="000000" w:themeColor="text1"/>
          <w:sz w:val="21"/>
          <w:highlight w:val="none"/>
          <w14:textFill>
            <w14:solidFill>
              <w14:schemeClr w14:val="tx1"/>
            </w14:solidFill>
          </w14:textFill>
        </w:rPr>
      </w:pPr>
      <w:r>
        <w:rPr>
          <w:rFonts w:hint="eastAsia" w:ascii="Times New Roman" w:hAnsi="Times New Roman" w:cs="Times New Roman"/>
          <w:color w:val="000000" w:themeColor="text1"/>
          <w:sz w:val="21"/>
          <w:highlight w:val="none"/>
          <w14:textFill>
            <w14:solidFill>
              <w14:schemeClr w14:val="tx1"/>
            </w14:solidFill>
          </w14:textFill>
        </w:rPr>
        <w:t>3</w:t>
      </w:r>
      <w:r>
        <w:rPr>
          <w:rFonts w:ascii="Times New Roman" w:hAnsi="Times New Roman" w:cs="Times New Roman"/>
          <w:color w:val="000000" w:themeColor="text1"/>
          <w:sz w:val="21"/>
          <w:highlight w:val="none"/>
          <w14:textFill>
            <w14:solidFill>
              <w14:schemeClr w14:val="tx1"/>
            </w14:solidFill>
          </w14:textFill>
        </w:rPr>
        <w:t>.1 本次招标要求投标人须为中华人民共和国境内依法注册的法人或其他组织，须具备相应货物的制造/开发能力，并在人员、设备、资金等方面具有保障如期交货的供货能力。</w:t>
      </w:r>
      <w:r>
        <w:rPr>
          <w:rFonts w:hint="default" w:ascii="Times New Roman" w:hAnsi="Times New Roman" w:cs="Times New Roman"/>
          <w:color w:val="000000" w:themeColor="text1"/>
          <w:szCs w:val="18"/>
          <w:highlight w:val="none"/>
          <w14:textFill>
            <w14:solidFill>
              <w14:schemeClr w14:val="tx1"/>
            </w14:solidFill>
          </w14:textFill>
        </w:rPr>
        <w:t>接受外协代购产品投标时，其投标外协代购产品原厂商须在境内具备相应货物的制造能力，并在人员、设备、资金等方面具有保障相应协作承制货物如期交货的能力。</w:t>
      </w:r>
      <w:r>
        <w:rPr>
          <w:rFonts w:hint="default" w:ascii="Times New Roman" w:hAnsi="Times New Roman" w:cs="Times New Roman"/>
          <w:color w:val="000000" w:themeColor="text1"/>
          <w:highlight w:val="none"/>
          <w14:textFill>
            <w14:solidFill>
              <w14:schemeClr w14:val="tx1"/>
            </w14:solidFill>
          </w14:textFill>
        </w:rPr>
        <w:t>除特别注明外，</w:t>
      </w:r>
      <w:r>
        <w:rPr>
          <w:rFonts w:hint="default" w:ascii="Times New Roman" w:hAnsi="Times New Roman" w:cs="Times New Roman"/>
          <w:color w:val="000000" w:themeColor="text1"/>
          <w:szCs w:val="18"/>
          <w:highlight w:val="none"/>
          <w14:textFill>
            <w14:solidFill>
              <w14:schemeClr w14:val="tx1"/>
            </w14:solidFill>
          </w14:textFill>
        </w:rPr>
        <w:t>这些资格、资质、业绩均系投标人本人或外协产品原厂商本人所拥有的权利权益。</w:t>
      </w:r>
    </w:p>
    <w:p>
      <w:pPr>
        <w:tabs>
          <w:tab w:val="left" w:pos="1190"/>
          <w:tab w:val="left" w:pos="4694"/>
          <w:tab w:val="left" w:pos="6290"/>
        </w:tabs>
        <w:ind w:firstLine="420" w:firstLineChars="200"/>
        <w:jc w:val="both"/>
        <w:rPr>
          <w:rFonts w:ascii="Times New Roman" w:hAnsi="Times New Roman" w:cs="Times New Roman"/>
          <w:color w:val="000000" w:themeColor="text1"/>
          <w:sz w:val="21"/>
          <w:highlight w:val="none"/>
          <w14:textFill>
            <w14:solidFill>
              <w14:schemeClr w14:val="tx1"/>
            </w14:solidFill>
          </w14:textFill>
        </w:rPr>
      </w:pPr>
      <w:r>
        <w:rPr>
          <w:rFonts w:hint="eastAsia" w:ascii="Times New Roman" w:hAnsi="Times New Roman" w:cs="Times New Roman"/>
          <w:color w:val="000000" w:themeColor="text1"/>
          <w:sz w:val="21"/>
          <w:highlight w:val="none"/>
          <w14:textFill>
            <w14:solidFill>
              <w14:schemeClr w14:val="tx1"/>
            </w14:solidFill>
          </w14:textFill>
        </w:rPr>
        <w:t xml:space="preserve">3.2 </w:t>
      </w:r>
      <w:r>
        <w:rPr>
          <w:rFonts w:ascii="Times New Roman" w:hAnsi="Times New Roman" w:cs="Times New Roman"/>
          <w:color w:val="000000" w:themeColor="text1"/>
          <w:sz w:val="21"/>
          <w:highlight w:val="none"/>
          <w14:textFill>
            <w14:solidFill>
              <w14:schemeClr w14:val="tx1"/>
            </w14:solidFill>
          </w14:textFill>
        </w:rPr>
        <w:t>本次招标</w:t>
      </w:r>
      <w:r>
        <w:rPr>
          <w:rFonts w:hint="eastAsia" w:ascii="Times New Roman" w:hAnsi="Times New Roman" w:cs="Times New Roman"/>
          <w:color w:val="000000" w:themeColor="text1"/>
          <w:sz w:val="21"/>
          <w:highlight w:val="none"/>
          <w14:textFill>
            <w14:solidFill>
              <w14:schemeClr w14:val="tx1"/>
            </w14:solidFill>
          </w14:textFill>
        </w:rPr>
        <w:t>不接受</w:t>
      </w:r>
      <w:r>
        <w:rPr>
          <w:rFonts w:ascii="Times New Roman" w:hAnsi="Times New Roman" w:cs="Times New Roman"/>
          <w:color w:val="000000" w:themeColor="text1"/>
          <w:sz w:val="21"/>
          <w:highlight w:val="none"/>
          <w14:textFill>
            <w14:solidFill>
              <w14:schemeClr w14:val="tx1"/>
            </w14:solidFill>
          </w14:textFill>
        </w:rPr>
        <w:t>联合体投标。</w:t>
      </w:r>
    </w:p>
    <w:p>
      <w:pPr>
        <w:tabs>
          <w:tab w:val="left" w:pos="1190"/>
          <w:tab w:val="left" w:pos="4694"/>
          <w:tab w:val="left" w:pos="6290"/>
        </w:tabs>
        <w:ind w:firstLine="420" w:firstLineChars="200"/>
        <w:jc w:val="both"/>
        <w:rPr>
          <w:rFonts w:ascii="Times New Roman" w:hAnsi="Times New Roman" w:cs="Times New Roman"/>
          <w:color w:val="000000" w:themeColor="text1"/>
          <w:sz w:val="21"/>
          <w:highlight w:val="none"/>
          <w14:textFill>
            <w14:solidFill>
              <w14:schemeClr w14:val="tx1"/>
            </w14:solidFill>
          </w14:textFill>
        </w:rPr>
      </w:pPr>
      <w:r>
        <w:rPr>
          <w:rFonts w:hint="eastAsia" w:ascii="Times New Roman" w:hAnsi="Times New Roman" w:cs="Times New Roman"/>
          <w:color w:val="000000" w:themeColor="text1"/>
          <w:sz w:val="21"/>
          <w:highlight w:val="none"/>
          <w14:textFill>
            <w14:solidFill>
              <w14:schemeClr w14:val="tx1"/>
            </w14:solidFill>
          </w14:textFill>
        </w:rPr>
        <w:t>3.3 本次招标不接受代理商投标。</w:t>
      </w:r>
    </w:p>
    <w:p>
      <w:pPr>
        <w:tabs>
          <w:tab w:val="left" w:pos="1190"/>
          <w:tab w:val="left" w:pos="3112"/>
          <w:tab w:val="left" w:pos="4600"/>
        </w:tabs>
        <w:ind w:left="420"/>
        <w:jc w:val="both"/>
        <w:rPr>
          <w:rFonts w:ascii="Times New Roman" w:hAnsi="Times New Roman" w:cs="Times New Roman"/>
          <w:b/>
          <w:color w:val="000000" w:themeColor="text1"/>
          <w:spacing w:val="7"/>
          <w:sz w:val="21"/>
          <w:highlight w:val="none"/>
          <w14:textFill>
            <w14:solidFill>
              <w14:schemeClr w14:val="tx1"/>
            </w14:solidFill>
          </w14:textFill>
        </w:rPr>
      </w:pPr>
      <w:r>
        <w:rPr>
          <w:rFonts w:ascii="Times New Roman" w:hAnsi="Times New Roman" w:cs="Times New Roman"/>
          <w:b/>
          <w:color w:val="000000" w:themeColor="text1"/>
          <w:spacing w:val="7"/>
          <w:sz w:val="21"/>
          <w:highlight w:val="none"/>
          <w14:textFill>
            <w14:solidFill>
              <w14:schemeClr w14:val="tx1"/>
            </w14:solidFill>
          </w14:textFill>
        </w:rPr>
        <w:t>3.4 投标人及其投标产品须满足如下通用资格要求：</w:t>
      </w:r>
    </w:p>
    <w:p>
      <w:pPr>
        <w:adjustRightInd w:val="0"/>
        <w:snapToGrid w:val="0"/>
        <w:ind w:firstLine="435"/>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ascii="Times New Roman" w:hAnsi="Times New Roman" w:cs="Times New Roman"/>
          <w:color w:val="000000" w:themeColor="text1"/>
          <w:szCs w:val="21"/>
          <w:highlight w:val="none"/>
          <w14:textFill>
            <w14:solidFill>
              <w14:schemeClr w14:val="tx1"/>
            </w14:solidFill>
          </w14:textFill>
        </w:rPr>
        <w:t>必须具有生产</w:t>
      </w:r>
      <w:r>
        <w:rPr>
          <w:rFonts w:hint="default" w:ascii="Times New Roman" w:hAnsi="Times New Roman" w:cs="Times New Roman"/>
          <w:color w:val="000000" w:themeColor="text1"/>
          <w:szCs w:val="21"/>
          <w:highlight w:val="none"/>
          <w14:textFill>
            <w14:solidFill>
              <w14:schemeClr w14:val="tx1"/>
            </w14:solidFill>
          </w14:textFill>
        </w:rPr>
        <w:t>投标</w:t>
      </w:r>
      <w:r>
        <w:rPr>
          <w:rFonts w:ascii="Times New Roman" w:hAnsi="Times New Roman" w:cs="Times New Roman"/>
          <w:color w:val="000000" w:themeColor="text1"/>
          <w:szCs w:val="21"/>
          <w:highlight w:val="none"/>
          <w14:textFill>
            <w14:solidFill>
              <w14:schemeClr w14:val="tx1"/>
            </w14:solidFill>
          </w14:textFill>
        </w:rPr>
        <w:t>产品所需的生产场地、生产设备、生产人员、产品及元器件检测能力。这些制造、检测能力应当分别相等或者优于招标人招投标交易平台信息系统（国家电网有限公司电子商务平台https://ecp.sgcc.com.cn/ecp2.0/portal/）中发布的“2020年电能表、用电信息采集及充电设备</w:t>
      </w:r>
      <w:r>
        <w:rPr>
          <w:rFonts w:hint="default" w:ascii="Times New Roman" w:hAnsi="Times New Roman" w:cs="Times New Roman"/>
          <w:color w:val="000000" w:themeColor="text1"/>
          <w:szCs w:val="21"/>
          <w:highlight w:val="none"/>
          <w14:textFill>
            <w14:solidFill>
              <w14:schemeClr w14:val="tx1"/>
            </w14:solidFill>
          </w14:textFill>
        </w:rPr>
        <w:t>供应商资质能力信息核实规范</w:t>
      </w:r>
      <w:r>
        <w:rPr>
          <w:rFonts w:ascii="Times New Roman" w:hAnsi="Times New Roman" w:cs="Times New Roman"/>
          <w:color w:val="000000" w:themeColor="text1"/>
          <w:szCs w:val="21"/>
          <w:highlight w:val="none"/>
          <w14:textFill>
            <w14:solidFill>
              <w14:schemeClr w14:val="tx1"/>
            </w14:solidFill>
          </w14:textFill>
        </w:rPr>
        <w:t>”提出的相应条款要求（查看路径：招投标交易平台信息系统首页→供应商管理→资质能力核实→资质能力核实规范标准→</w:t>
      </w:r>
      <w:r>
        <w:rPr>
          <w:rFonts w:hint="default" w:ascii="Times New Roman" w:hAnsi="Times New Roman" w:cs="Times New Roman"/>
          <w:color w:val="000000" w:themeColor="text1"/>
          <w:szCs w:val="21"/>
          <w:highlight w:val="none"/>
          <w14:textFill>
            <w14:solidFill>
              <w14:schemeClr w14:val="tx1"/>
            </w14:solidFill>
          </w14:textFill>
        </w:rPr>
        <w:t>国家电网有限公司关于</w:t>
      </w:r>
      <w:r>
        <w:rPr>
          <w:rFonts w:ascii="Times New Roman" w:hAnsi="Times New Roman" w:cs="Times New Roman"/>
          <w:color w:val="000000" w:themeColor="text1"/>
          <w:szCs w:val="21"/>
          <w:highlight w:val="none"/>
          <w14:textFill>
            <w14:solidFill>
              <w14:schemeClr w14:val="tx1"/>
            </w14:solidFill>
          </w14:textFill>
        </w:rPr>
        <w:t>2020年电能表、用电信息采集及充电设备供应商资质能力信息核实结果的公告</w:t>
      </w:r>
      <w:r>
        <w:rPr>
          <w:rFonts w:hint="default"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w:t>
      </w:r>
    </w:p>
    <w:p>
      <w:pPr>
        <w:adjustRightInd w:val="0"/>
        <w:snapToGrid w:val="0"/>
        <w:ind w:firstLine="435"/>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本招标活动不接受贴牌代工以及任何分包、转包行为的投标。</w:t>
      </w:r>
    </w:p>
    <w:p>
      <w:pPr>
        <w:adjustRightInd w:val="0"/>
        <w:snapToGrid w:val="0"/>
        <w:ind w:firstLine="435"/>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（2）设计制造过满足专用资质业绩要求的相同结构、相同型式、同等或同类型或以上技术规格的产品。在与规范相同或较规范更严格的条件下，该产品在招标文件规定年限内的供货数量满足招标文件的要求。</w:t>
      </w:r>
    </w:p>
    <w:p>
      <w:pPr>
        <w:adjustRightInd w:val="0"/>
        <w:snapToGrid w:val="0"/>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szCs w:val="21"/>
          <w:highlight w:val="none"/>
          <w14:textFill>
            <w14:solidFill>
              <w14:schemeClr w14:val="tx1"/>
            </w14:solidFill>
          </w14:textFill>
        </w:rPr>
        <w:t>取得国际权威机构或者国家级专业检验检测机构出具的产品有效试验报告（国际专业权威机构出具的试验报告，须提供中文版本或经公证后的中文译本），且试验报告检测项目、结果数据、检测有效期符合相应产品最新国家或者行业标准的规定以及本次招标技术规范要求。各类试验报告均系针对具体型式规格产品的试验报告。</w:t>
      </w:r>
    </w:p>
    <w:p>
      <w:pPr>
        <w:adjustRightInd w:val="0"/>
        <w:snapToGrid w:val="0"/>
        <w:ind w:firstLine="435"/>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国家、行业已经发布相应产品标准的，投标人须取得国家级权威检验检测机构出具的型式试验报告；国家、行业尚未发布相应产品标准的，投标人须取得国家级权威检验检测机构依据国家电网有限公司企业标准出具的检验检测报告。</w:t>
      </w:r>
    </w:p>
    <w:p>
      <w:pPr>
        <w:adjustRightInd w:val="0"/>
        <w:snapToGrid w:val="0"/>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w:t>
      </w:r>
      <w:r>
        <w:rPr>
          <w:rFonts w:ascii="Times New Roman" w:hAnsi="Times New Roman" w:cs="Times New Roman"/>
          <w:color w:val="000000" w:themeColor="text1"/>
          <w:szCs w:val="21"/>
          <w:highlight w:val="none"/>
          <w14:textFill>
            <w14:solidFill>
              <w14:schemeClr w14:val="tx1"/>
            </w14:solidFill>
          </w14:textFill>
        </w:rPr>
        <w:t>投标人应具备对外购外协原材料、配套元件和外部委托加工及进口散装的部件进行进厂验收所需的检验制度、检测手段和能力，和由材料、元件和部件供应商提供的检测合格证明。原材料组部件管理具有可追溯性。</w:t>
      </w:r>
    </w:p>
    <w:p>
      <w:pPr>
        <w:adjustRightInd w:val="0"/>
        <w:snapToGrid w:val="0"/>
        <w:ind w:firstLine="435"/>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（5）取得国家法律、法规、部门规章及规范标准规定的有效许可证。取得招标文件要求的有效认证证书。</w:t>
      </w:r>
    </w:p>
    <w:p>
      <w:pPr>
        <w:adjustRightInd w:val="0"/>
        <w:snapToGrid w:val="0"/>
        <w:ind w:firstLine="435"/>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（6）应有良好的财务状况和商业信用。</w:t>
      </w:r>
    </w:p>
    <w:p>
      <w:pPr>
        <w:tabs>
          <w:tab w:val="left" w:pos="1190"/>
          <w:tab w:val="left" w:pos="4694"/>
          <w:tab w:val="left" w:pos="6290"/>
        </w:tabs>
        <w:ind w:firstLine="44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（7） 法定代表人或单位负责人为同一人或者存在控股、管理关系的不同单位，不得参加同一标包投标或者未划分标包的同一招标项目投标。</w:t>
      </w:r>
    </w:p>
    <w:p>
      <w:pPr>
        <w:adjustRightInd w:val="0"/>
        <w:snapToGrid w:val="0"/>
        <w:ind w:firstLine="435"/>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（8）必须具有生产招标产品所需工序的工艺文件、作业指导书，且能保证产品生产的需要。各个工序按工艺文件执行，并具有可追溯性。</w:t>
      </w:r>
    </w:p>
    <w:p>
      <w:pPr>
        <w:ind w:firstLine="4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（9）必须具有生产招标产品所需的出厂检测能力，包括试验场地、试验设备和试验人员。</w:t>
      </w:r>
    </w:p>
    <w:p>
      <w:pPr>
        <w:adjustRightInd w:val="0"/>
        <w:snapToGrid w:val="0"/>
        <w:ind w:firstLine="420"/>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（10）根据《国家电网有限公司供应商不良行为处理管理细则》的规定，投标人存在导致其被暂停中标资格或取消中标资格的不良行为，且在处理有效期内的，</w:t>
      </w:r>
      <w:r>
        <w:rPr>
          <w:rFonts w:hint="default" w:ascii="Times New Roman" w:hAnsi="Times New Roman" w:cs="Times New Roman"/>
          <w:color w:val="000000" w:themeColor="text1"/>
          <w:sz w:val="21"/>
          <w:szCs w:val="21"/>
          <w:highlight w:val="none"/>
          <w14:textFill>
            <w14:solidFill>
              <w14:schemeClr w14:val="tx1"/>
            </w14:solidFill>
          </w14:textFill>
        </w:rPr>
        <w:t>其投标</w:t>
      </w:r>
      <w:r>
        <w:rPr>
          <w:rFonts w:ascii="Times New Roman" w:hAnsi="Times New Roman" w:cs="Times New Roman"/>
          <w:color w:val="000000" w:themeColor="text1"/>
          <w:sz w:val="21"/>
          <w:szCs w:val="21"/>
          <w:highlight w:val="none"/>
          <w14:textFill>
            <w14:solidFill>
              <w14:schemeClr w14:val="tx1"/>
            </w14:solidFill>
          </w14:textFill>
        </w:rPr>
        <w:t>将被否决</w:t>
      </w:r>
      <w:r>
        <w:rPr>
          <w:rFonts w:hint="default" w:ascii="Times New Roman" w:hAnsi="Times New Roman" w:cs="Times New Roman"/>
          <w:color w:val="000000" w:themeColor="text1"/>
          <w:sz w:val="21"/>
          <w:szCs w:val="21"/>
          <w:highlight w:val="none"/>
          <w14:textFill>
            <w14:solidFill>
              <w14:schemeClr w14:val="tx1"/>
            </w14:solidFill>
          </w14:textFill>
        </w:rPr>
        <w:t>。</w:t>
      </w:r>
    </w:p>
    <w:p>
      <w:pPr>
        <w:adjustRightInd w:val="0"/>
        <w:snapToGrid w:val="0"/>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11）根据最高人民法院、国家发展改革委、国家铁路局等九部门联合印发的《关于在招标投标活动中对失信被执行人实施联合惩戒的通知》（法〔2016〕285号），投标人不得被人民法院列为失信被执行人。投标人不得存在违法失信行为，不得被“信用中国”网站（www.creditchina.gov.cn）列入“黑名单”。</w:t>
      </w:r>
    </w:p>
    <w:p>
      <w:pPr>
        <w:tabs>
          <w:tab w:val="left" w:pos="1190"/>
          <w:tab w:val="left" w:pos="3112"/>
          <w:tab w:val="left" w:pos="4600"/>
        </w:tabs>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（12）根据《企业信息公示暂行条例》，投标人不得被</w:t>
      </w:r>
      <w:r>
        <w:rPr>
          <w:rFonts w:hint="default" w:ascii="Times New Roman" w:hAnsi="Times New Roman" w:cs="Times New Roman"/>
          <w:color w:val="000000" w:themeColor="text1"/>
          <w:szCs w:val="21"/>
          <w:highlight w:val="none"/>
          <w:lang w:eastAsia="zh-CN"/>
          <w14:textFill>
            <w14:solidFill>
              <w14:schemeClr w14:val="tx1"/>
            </w14:solidFill>
          </w14:textFill>
        </w:rPr>
        <w:t>市场监督管理机关</w:t>
      </w:r>
      <w:r>
        <w:rPr>
          <w:rFonts w:ascii="Times New Roman" w:hAnsi="Times New Roman" w:cs="Times New Roman"/>
          <w:color w:val="000000" w:themeColor="text1"/>
          <w:szCs w:val="21"/>
          <w:highlight w:val="none"/>
          <w14:textFill>
            <w14:solidFill>
              <w14:schemeClr w14:val="tx1"/>
            </w14:solidFill>
          </w14:textFill>
        </w:rPr>
        <w:t>在全国企业信用信息公示系统中列入“经营异常名录”或者“严重违法失信企业名单”。投标人需同时在商务文件中提供在国家企业信用信息公示系统（www.gsxt.gov.cn）查询的，包含“</w:t>
      </w:r>
      <w:r>
        <w:rPr>
          <w:rFonts w:hint="default" w:ascii="Times New Roman" w:hAnsi="Times New Roman" w:cs="Times New Roman"/>
          <w:color w:val="000000" w:themeColor="text1"/>
          <w:szCs w:val="21"/>
          <w:highlight w:val="none"/>
          <w14:textFill>
            <w14:solidFill>
              <w14:schemeClr w14:val="tx1"/>
            </w14:solidFill>
          </w14:textFill>
        </w:rPr>
        <w:t>营业执照信息</w:t>
      </w:r>
      <w:r>
        <w:rPr>
          <w:rFonts w:ascii="Times New Roman" w:hAnsi="Times New Roman" w:cs="Times New Roman"/>
          <w:color w:val="000000" w:themeColor="text1"/>
          <w:szCs w:val="21"/>
          <w:highlight w:val="none"/>
          <w14:textFill>
            <w14:solidFill>
              <w14:schemeClr w14:val="tx1"/>
            </w14:solidFill>
          </w14:textFill>
        </w:rPr>
        <w:t>”、“列入严重违法失信企业名单（黑名单）”、“列入经营异常名录信息”</w:t>
      </w:r>
      <w:r>
        <w:rPr>
          <w:rFonts w:hint="default"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行政处罚信息</w:t>
      </w:r>
      <w:r>
        <w:rPr>
          <w:rFonts w:ascii="Times New Roman" w:hAnsi="Times New Roman" w:cs="Times New Roman"/>
          <w:color w:val="000000" w:themeColor="text1"/>
          <w:szCs w:val="21"/>
          <w:highlight w:val="none"/>
          <w14:textFill>
            <w14:solidFill>
              <w14:schemeClr w14:val="tx1"/>
            </w14:solidFill>
          </w14:textFill>
        </w:rPr>
        <w:t>”的查询结果（查询日期应在投标截止日前20天内，查询结果应为网站自动生成的PDF文件的电子版）。如投标人未提供企业信用信息公示报告，或提供的报告不符合招标文件规定的格式与内容，或报告内容被评标委员会认定有异议的，投标人的 “列入经营异常名录信息”和“列入严重违法失信企业名单（黑名单）信息”以评标委员会在国家企业信用信息公示系统（www.gsxt.gov.cn）查询的结果为准。投标人未提供或提供的企业信用信息公示报告不符合招标文件规定的格式与内容的，评标委员会将进行不利评价。投标人提供虚假企业信用信息公示报告的，按照虚假投标进行否决，并根据《国家电网公司供应商不良行为处理管理细则》进行相应处</w:t>
      </w:r>
      <w:r>
        <w:rPr>
          <w:rFonts w:hint="default" w:ascii="Times New Roman" w:hAnsi="Times New Roman" w:cs="Times New Roman"/>
          <w:color w:val="000000" w:themeColor="text1"/>
          <w:szCs w:val="21"/>
          <w:highlight w:val="none"/>
          <w14:textFill>
            <w14:solidFill>
              <w14:schemeClr w14:val="tx1"/>
            </w14:solidFill>
          </w14:textFill>
        </w:rPr>
        <w:t>理</w:t>
      </w:r>
      <w:r>
        <w:rPr>
          <w:rFonts w:ascii="Times New Roman" w:hAnsi="Times New Roman" w:cs="Times New Roman"/>
          <w:color w:val="000000" w:themeColor="text1"/>
          <w:szCs w:val="21"/>
          <w:highlight w:val="none"/>
          <w14:textFill>
            <w14:solidFill>
              <w14:schemeClr w14:val="tx1"/>
            </w14:solidFill>
          </w14:textFill>
        </w:rPr>
        <w:t>。</w:t>
      </w:r>
    </w:p>
    <w:p>
      <w:pPr>
        <w:adjustRightInd w:val="0"/>
        <w:snapToGrid w:val="0"/>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13）根据国家发改委等部委联合印发的《印发&lt;关于对电力行业严重违法失信市场主体及其有关人员实施联合惩戒的合作备忘录&gt;的通知》（发改运行〔2017〕946号）的规定，投标人不得被政府主管部门认定存在严重违法失信行为并纳入电力行业“黑名单”。</w:t>
      </w:r>
    </w:p>
    <w:p>
      <w:pPr>
        <w:adjustRightInd w:val="0"/>
        <w:snapToGrid w:val="0"/>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14）投标人不得选配国家电网有限公司《关于供应商不良行为处理情况的通报》中正接受暂停中标资格、取消中标资格的外购外协供应商或代理（集成服务）原厂商的产品；不得选配涉嫌存在《招标投标法》第53条、《招标投标法实施条例》第51条所列行为，已被司法机关立案的外购外协供应商或代理（集成服务）原厂商的产品。</w:t>
      </w:r>
    </w:p>
    <w:p>
      <w:pPr>
        <w:adjustRightInd w:val="0"/>
        <w:snapToGrid w:val="0"/>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15）投标产品不得选配缺陷责任期（自设备投运之日起两年内）发生产品质量问题（接续、接触机械电气性能，支撑、封闭绝缘性能，以及电力电子性能下降、老化、毁损、丧失）导致设备停运检修的组件材料制造商的产品。</w:t>
      </w:r>
    </w:p>
    <w:p>
      <w:pPr>
        <w:adjustRightInd w:val="0"/>
        <w:snapToGrid w:val="0"/>
        <w:ind w:firstLine="420"/>
        <w:rPr>
          <w:rStyle w:val="18"/>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（16）投标人发生合并、分立、破产等重大变化的，应当及时书面告知招标人。投标人不再具备招标文件规定的资格条件或者其投标影响招标公正性的，其投标无效。</w:t>
      </w:r>
    </w:p>
    <w:p>
      <w:pPr>
        <w:adjustRightInd w:val="0"/>
        <w:snapToGrid w:val="0"/>
        <w:ind w:firstLine="420"/>
        <w:rPr>
          <w:rStyle w:val="18"/>
          <w:rFonts w:ascii="Times New Roman" w:hAnsi="Times New Roman" w:cs="Times New Roman"/>
          <w:color w:val="000000" w:themeColor="text1"/>
          <w:highlight w:val="none"/>
          <w14:textFill>
            <w14:solidFill>
              <w14:schemeClr w14:val="tx1"/>
            </w14:solidFill>
          </w14:textFill>
        </w:rPr>
      </w:pPr>
      <w:r>
        <w:rPr>
          <w:rStyle w:val="18"/>
          <w:rFonts w:ascii="Times New Roman" w:hAnsi="Times New Roman" w:cs="Times New Roman"/>
          <w:color w:val="000000" w:themeColor="text1"/>
          <w:highlight w:val="none"/>
          <w14:textFill>
            <w14:solidFill>
              <w14:schemeClr w14:val="tx1"/>
            </w14:solidFill>
          </w14:textFill>
        </w:rPr>
        <w:t>（17）投标人应自行响应招标采购文件，不得委托中介机构或者中间人编制投标文件或代行办理投标事宜，不得相互串通投标。</w:t>
      </w:r>
    </w:p>
    <w:p>
      <w:pPr>
        <w:adjustRightInd w:val="0"/>
        <w:snapToGrid w:val="0"/>
        <w:ind w:firstLine="420"/>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1</w:t>
      </w:r>
      <w:r>
        <w:rPr>
          <w:rFonts w:hint="default" w:ascii="Times New Roman" w:hAnsi="Times New Roman" w:cs="Times New Roman"/>
          <w:color w:val="000000" w:themeColor="text1"/>
          <w:sz w:val="21"/>
          <w:szCs w:val="21"/>
          <w:highlight w:val="none"/>
          <w:lang w:val="en-US"/>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检验检测报告有效截止日期在</w:t>
      </w:r>
      <w:r>
        <w:rPr>
          <w:rFonts w:ascii="Times New Roman" w:hAnsi="Times New Roman" w:cs="Times New Roman"/>
          <w:b/>
          <w:color w:val="000000" w:themeColor="text1"/>
          <w:sz w:val="21"/>
          <w:szCs w:val="21"/>
          <w:highlight w:val="none"/>
          <w14:textFill>
            <w14:solidFill>
              <w14:schemeClr w14:val="tx1"/>
            </w14:solidFill>
          </w14:textFill>
        </w:rPr>
        <w:t>2020年1月1日至开标当日的，本次认定为在有效期内</w:t>
      </w:r>
      <w:r>
        <w:rPr>
          <w:rFonts w:hint="default" w:ascii="Times New Roman" w:hAnsi="Times New Roman" w:cs="Times New Roman"/>
          <w:b/>
          <w:color w:val="000000" w:themeColor="text1"/>
          <w:sz w:val="21"/>
          <w:szCs w:val="21"/>
          <w:highlight w:val="none"/>
          <w14:textFill>
            <w14:solidFill>
              <w14:schemeClr w14:val="tx1"/>
            </w14:solidFill>
          </w14:textFill>
        </w:rPr>
        <w:t>。</w:t>
      </w:r>
    </w:p>
    <w:p>
      <w:pPr>
        <w:pStyle w:val="2"/>
        <w:rPr>
          <w:rFonts w:hint="default" w:ascii="Times New Roman" w:hAnsi="Times New Roman" w:cs="Times New Roman"/>
          <w:b/>
          <w:color w:val="000000" w:themeColor="text1"/>
          <w:sz w:val="21"/>
          <w:szCs w:val="21"/>
          <w:highlight w:val="none"/>
          <w14:textFill>
            <w14:solidFill>
              <w14:schemeClr w14:val="tx1"/>
            </w14:solidFill>
          </w14:textFill>
        </w:rPr>
      </w:pPr>
    </w:p>
    <w:p>
      <w:pPr>
        <w:tabs>
          <w:tab w:val="left" w:pos="1190"/>
          <w:tab w:val="left" w:pos="3112"/>
          <w:tab w:val="left" w:pos="4600"/>
        </w:tabs>
        <w:ind w:firstLine="420"/>
        <w:jc w:val="both"/>
        <w:rPr>
          <w:rFonts w:ascii="Times New Roman" w:hAnsi="Times New Roman" w:cs="Times New Roman"/>
          <w:b/>
          <w:color w:val="000000" w:themeColor="text1"/>
          <w:sz w:val="21"/>
          <w:szCs w:val="21"/>
          <w:highlight w:val="none"/>
          <w14:textFill>
            <w14:solidFill>
              <w14:schemeClr w14:val="tx1"/>
            </w14:solidFill>
          </w14:textFill>
        </w:rPr>
      </w:pPr>
      <w:r>
        <w:rPr>
          <w:rFonts w:hint="eastAsia" w:ascii="Times New Roman" w:hAnsi="Times New Roman" w:cs="Times New Roman"/>
          <w:b/>
          <w:color w:val="000000" w:themeColor="text1"/>
          <w:sz w:val="21"/>
          <w:highlight w:val="none"/>
          <w14:textFill>
            <w14:solidFill>
              <w14:schemeClr w14:val="tx1"/>
            </w14:solidFill>
          </w14:textFill>
        </w:rPr>
        <w:t>3.5 投标人及其投标产品须满足相应招标货物的专用资质业绩要求如下：</w:t>
      </w:r>
    </w:p>
    <w:p>
      <w:pPr>
        <w:tabs>
          <w:tab w:val="left" w:pos="1190"/>
          <w:tab w:val="left" w:pos="3112"/>
          <w:tab w:val="left" w:pos="4600"/>
        </w:tabs>
        <w:ind w:firstLine="420"/>
        <w:jc w:val="both"/>
        <w:rPr>
          <w:rFonts w:ascii="Times New Roman" w:hAnsi="Times New Roman" w:cs="Times New Roman"/>
          <w:color w:val="000000" w:themeColor="text1"/>
          <w:sz w:val="21"/>
          <w:szCs w:val="21"/>
          <w:highlight w:val="none"/>
          <w14:textFill>
            <w14:solidFill>
              <w14:schemeClr w14:val="tx1"/>
            </w14:solidFill>
          </w14:textFill>
        </w:rPr>
      </w:pPr>
    </w:p>
    <w:tbl>
      <w:tblPr>
        <w:tblStyle w:val="19"/>
        <w:tblW w:w="9740" w:type="dxa"/>
        <w:jc w:val="center"/>
        <w:tblInd w:w="0" w:type="dxa"/>
        <w:tblLayout w:type="fixed"/>
        <w:tblCellMar>
          <w:top w:w="0" w:type="dxa"/>
          <w:left w:w="108" w:type="dxa"/>
          <w:bottom w:w="0" w:type="dxa"/>
          <w:right w:w="108" w:type="dxa"/>
        </w:tblCellMar>
      </w:tblPr>
      <w:tblGrid>
        <w:gridCol w:w="1845"/>
        <w:gridCol w:w="723"/>
        <w:gridCol w:w="1202"/>
        <w:gridCol w:w="1927"/>
        <w:gridCol w:w="1420"/>
        <w:gridCol w:w="859"/>
        <w:gridCol w:w="808"/>
        <w:gridCol w:w="956"/>
      </w:tblGrid>
      <w:tr>
        <w:tblPrEx>
          <w:tblLayout w:type="fixed"/>
          <w:tblCellMar>
            <w:top w:w="0" w:type="dxa"/>
            <w:left w:w="108" w:type="dxa"/>
            <w:bottom w:w="0" w:type="dxa"/>
            <w:right w:w="108" w:type="dxa"/>
          </w:tblCellMar>
        </w:tblPrEx>
        <w:trPr>
          <w:gridAfter w:val="4"/>
          <w:wAfter w:w="4043" w:type="dxa"/>
          <w:trHeight w:val="285" w:hRule="atLeast"/>
          <w:jc w:val="center"/>
        </w:trPr>
        <w:tc>
          <w:tcPr>
            <w:tcW w:w="5697" w:type="dxa"/>
            <w:gridSpan w:val="4"/>
            <w:tcBorders>
              <w:top w:val="nil"/>
              <w:left w:val="nil"/>
              <w:bottom w:val="double" w:color="auto" w:sz="6" w:space="0"/>
              <w:right w:val="nil"/>
            </w:tcBorders>
          </w:tcPr>
          <w:p>
            <w:pPr>
              <w:widowControl/>
              <w:snapToGrid w:val="0"/>
              <w:rPr>
                <w:rFonts w:ascii="Times New Roman" w:hAnsi="Times New Roman" w:cs="Times New Roman"/>
                <w:b/>
                <w:bCs/>
                <w:color w:val="000000" w:themeColor="text1"/>
                <w:szCs w:val="21"/>
                <w:highlight w:val="none"/>
                <w14:textFill>
                  <w14:solidFill>
                    <w14:schemeClr w14:val="tx1"/>
                  </w14:solidFill>
                </w14:textFill>
              </w:rPr>
            </w:pPr>
            <w:r>
              <w:rPr>
                <w:rFonts w:hint="eastAsia" w:ascii="Times New Roman" w:hAnsi="Times New Roman" w:cs="Times New Roman"/>
                <w:b/>
                <w:bCs/>
                <w:color w:val="000000" w:themeColor="text1"/>
                <w:szCs w:val="21"/>
                <w:highlight w:val="none"/>
                <w14:textFill>
                  <w14:solidFill>
                    <w14:schemeClr w14:val="tx1"/>
                  </w14:solidFill>
                </w14:textFill>
              </w:rPr>
              <w:t>智能电能表、</w:t>
            </w:r>
            <w:r>
              <w:rPr>
                <w:rFonts w:ascii="Times New Roman" w:hAnsi="Times New Roman" w:cs="Times New Roman"/>
                <w:b/>
                <w:bCs/>
                <w:color w:val="000000" w:themeColor="text1"/>
                <w:szCs w:val="21"/>
                <w:highlight w:val="none"/>
                <w14:textFill>
                  <w14:solidFill>
                    <w14:schemeClr w14:val="tx1"/>
                  </w14:solidFill>
                </w14:textFill>
              </w:rPr>
              <w:t>智能物联电能表</w:t>
            </w:r>
          </w:p>
        </w:tc>
      </w:tr>
      <w:tr>
        <w:tblPrEx>
          <w:tblLayout w:type="fixed"/>
          <w:tblCellMar>
            <w:top w:w="0" w:type="dxa"/>
            <w:left w:w="108" w:type="dxa"/>
            <w:bottom w:w="0" w:type="dxa"/>
            <w:right w:w="108" w:type="dxa"/>
          </w:tblCellMar>
        </w:tblPrEx>
        <w:trPr>
          <w:trHeight w:val="285" w:hRule="atLeast"/>
          <w:jc w:val="center"/>
        </w:trPr>
        <w:tc>
          <w:tcPr>
            <w:tcW w:w="1845" w:type="dxa"/>
            <w:vMerge w:val="restart"/>
            <w:tcBorders>
              <w:top w:val="double" w:color="auto" w:sz="6" w:space="0"/>
              <w:left w:val="nil"/>
              <w:bottom w:val="single" w:color="auto" w:sz="4" w:space="0"/>
              <w:right w:val="single" w:color="auto" w:sz="4" w:space="0"/>
            </w:tcBorders>
            <w:vAlign w:val="center"/>
          </w:tcPr>
          <w:p>
            <w:pPr>
              <w:widowControl/>
              <w:snapToGrid w:val="0"/>
              <w:jc w:val="center"/>
              <w:rPr>
                <w:rFonts w:ascii="Times New Roman" w:hAnsi="Times New Roman" w:cs="Times New Roman"/>
                <w:b/>
                <w:color w:val="000000" w:themeColor="text1"/>
                <w:sz w:val="15"/>
                <w:szCs w:val="15"/>
                <w:highlight w:val="none"/>
                <w14:textFill>
                  <w14:solidFill>
                    <w14:schemeClr w14:val="tx1"/>
                  </w14:solidFill>
                </w14:textFill>
              </w:rPr>
            </w:pPr>
            <w:bookmarkStart w:id="8" w:name="_GoBack"/>
            <w:bookmarkEnd w:id="8"/>
            <w:r>
              <w:rPr>
                <w:rFonts w:ascii="Times New Roman" w:hAnsi="Times New Roman" w:cs="Times New Roman"/>
                <w:b/>
                <w:color w:val="000000" w:themeColor="text1"/>
                <w:sz w:val="15"/>
                <w:szCs w:val="15"/>
                <w:highlight w:val="none"/>
                <w14:textFill>
                  <w14:solidFill>
                    <w14:schemeClr w14:val="tx1"/>
                  </w14:solidFill>
                </w14:textFill>
              </w:rPr>
              <w:t>货物名称</w:t>
            </w:r>
          </w:p>
        </w:tc>
        <w:tc>
          <w:tcPr>
            <w:tcW w:w="5272" w:type="dxa"/>
            <w:gridSpan w:val="4"/>
            <w:tcBorders>
              <w:top w:val="double" w:color="auto" w:sz="6"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业绩要求</w:t>
            </w:r>
          </w:p>
        </w:tc>
        <w:tc>
          <w:tcPr>
            <w:tcW w:w="859" w:type="dxa"/>
            <w:vMerge w:val="restart"/>
            <w:tcBorders>
              <w:top w:val="double" w:color="auto" w:sz="6"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生产许可证</w:t>
            </w:r>
          </w:p>
        </w:tc>
        <w:tc>
          <w:tcPr>
            <w:tcW w:w="808" w:type="dxa"/>
            <w:vMerge w:val="restart"/>
            <w:tcBorders>
              <w:top w:val="double" w:color="auto" w:sz="6"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试验报告</w:t>
            </w:r>
          </w:p>
        </w:tc>
        <w:tc>
          <w:tcPr>
            <w:tcW w:w="956" w:type="dxa"/>
            <w:vMerge w:val="restart"/>
            <w:tcBorders>
              <w:top w:val="double" w:color="auto" w:sz="6" w:space="0"/>
              <w:left w:val="single" w:color="auto" w:sz="4" w:space="0"/>
              <w:bottom w:val="single" w:color="auto" w:sz="4" w:space="0"/>
              <w:right w:val="nil"/>
            </w:tcBorders>
            <w:vAlign w:val="center"/>
          </w:tcPr>
          <w:p>
            <w:pPr>
              <w:snapToGrid w:val="0"/>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备注</w:t>
            </w:r>
          </w:p>
        </w:tc>
      </w:tr>
      <w:tr>
        <w:tblPrEx>
          <w:tblLayout w:type="fixed"/>
          <w:tblCellMar>
            <w:top w:w="0" w:type="dxa"/>
            <w:left w:w="108" w:type="dxa"/>
            <w:bottom w:w="0" w:type="dxa"/>
            <w:right w:w="108" w:type="dxa"/>
          </w:tblCellMar>
        </w:tblPrEx>
        <w:trPr>
          <w:trHeight w:val="292" w:hRule="atLeast"/>
          <w:jc w:val="center"/>
        </w:trPr>
        <w:tc>
          <w:tcPr>
            <w:tcW w:w="1845" w:type="dxa"/>
            <w:vMerge w:val="continue"/>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条件</w:t>
            </w:r>
          </w:p>
        </w:tc>
        <w:tc>
          <w:tcPr>
            <w:tcW w:w="12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供货时间</w:t>
            </w:r>
          </w:p>
        </w:tc>
        <w:tc>
          <w:tcPr>
            <w:tcW w:w="334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供货数量</w:t>
            </w:r>
          </w:p>
        </w:tc>
        <w:tc>
          <w:tcPr>
            <w:tcW w:w="859" w:type="dxa"/>
            <w:vMerge w:val="continue"/>
            <w:tcBorders>
              <w:top w:val="single" w:color="auto" w:sz="4" w:space="0"/>
              <w:left w:val="single" w:color="auto" w:sz="4" w:space="0"/>
              <w:bottom w:val="single" w:color="auto" w:sz="4" w:space="0"/>
              <w:right w:val="single" w:color="auto" w:sz="4" w:space="0"/>
            </w:tcBorders>
          </w:tcPr>
          <w:p>
            <w:pPr>
              <w:widowControl/>
              <w:snapToGrid w:val="0"/>
              <w:rPr>
                <w:rFonts w:ascii="Times New Roman" w:hAnsi="Times New Roman" w:cs="Times New Roman"/>
                <w:b/>
                <w:color w:val="000000" w:themeColor="text1"/>
                <w:sz w:val="15"/>
                <w:szCs w:val="15"/>
                <w:highlight w:val="none"/>
                <w14:textFill>
                  <w14:solidFill>
                    <w14:schemeClr w14:val="tx1"/>
                  </w14:solidFill>
                </w14:textFill>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b/>
                <w:color w:val="000000" w:themeColor="text1"/>
                <w:sz w:val="15"/>
                <w:szCs w:val="15"/>
                <w:highlight w:val="none"/>
                <w14:textFill>
                  <w14:solidFill>
                    <w14:schemeClr w14:val="tx1"/>
                  </w14:solidFill>
                </w14:textFill>
              </w:rPr>
            </w:pPr>
          </w:p>
        </w:tc>
        <w:tc>
          <w:tcPr>
            <w:tcW w:w="956" w:type="dxa"/>
            <w:vMerge w:val="continue"/>
            <w:tcBorders>
              <w:top w:val="single" w:color="auto" w:sz="4" w:space="0"/>
              <w:left w:val="single" w:color="auto" w:sz="4" w:space="0"/>
              <w:bottom w:val="single" w:color="auto" w:sz="4" w:space="0"/>
              <w:right w:val="nil"/>
            </w:tcBorders>
            <w:vAlign w:val="center"/>
          </w:tcPr>
          <w:p>
            <w:pPr>
              <w:snapToGrid w:val="0"/>
              <w:rPr>
                <w:rFonts w:ascii="Times New Roman" w:hAnsi="Times New Roman" w:cs="Times New Roman"/>
                <w:b/>
                <w:color w:val="000000" w:themeColor="text1"/>
                <w:sz w:val="15"/>
                <w:szCs w:val="15"/>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1845" w:type="dxa"/>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A级</w:t>
            </w:r>
            <w:r>
              <w:rPr>
                <w:rFonts w:ascii="Times New Roman" w:hAnsi="Times New Roman" w:cs="Times New Roman"/>
                <w:color w:val="000000" w:themeColor="text1"/>
                <w:sz w:val="15"/>
                <w:szCs w:val="15"/>
                <w:highlight w:val="none"/>
                <w14:textFill>
                  <w14:solidFill>
                    <w14:schemeClr w14:val="tx1"/>
                  </w14:solidFill>
                </w14:textFill>
              </w:rPr>
              <w:t>单相智能电能表</w:t>
            </w:r>
            <w:r>
              <w:rPr>
                <w:rFonts w:hint="eastAsia" w:ascii="Times New Roman" w:hAnsi="Times New Roman" w:cs="Times New Roman"/>
                <w:color w:val="000000" w:themeColor="text1"/>
                <w:sz w:val="15"/>
                <w:szCs w:val="15"/>
                <w:highlight w:val="none"/>
                <w14:textFill>
                  <w14:solidFill>
                    <w14:schemeClr w14:val="tx1"/>
                  </w14:solidFill>
                </w14:textFill>
              </w:rPr>
              <w:t>、</w:t>
            </w:r>
          </w:p>
          <w:p>
            <w:pPr>
              <w:widowControl/>
              <w:snapToGrid w:val="0"/>
              <w:rPr>
                <w:rFonts w:ascii="Times New Roman" w:hAnsi="Times New Roman" w:cs="Times New Roman"/>
                <w:color w:val="000000" w:themeColor="text1"/>
                <w:sz w:val="15"/>
                <w:szCs w:val="15"/>
                <w:highlight w:val="none"/>
                <w:lang w:val="en-US"/>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A</w:t>
            </w:r>
            <w:r>
              <w:rPr>
                <w:rFonts w:ascii="Times New Roman" w:hAnsi="Times New Roman" w:cs="Times New Roman"/>
                <w:color w:val="000000" w:themeColor="text1"/>
                <w:sz w:val="15"/>
                <w:szCs w:val="15"/>
                <w:highlight w:val="none"/>
                <w:lang w:val="en-US"/>
                <w14:textFill>
                  <w14:solidFill>
                    <w14:schemeClr w14:val="tx1"/>
                  </w14:solidFill>
                </w14:textFill>
              </w:rPr>
              <w:t>级单相智能物联电能表</w:t>
            </w:r>
          </w:p>
        </w:tc>
        <w:tc>
          <w:tcPr>
            <w:tcW w:w="72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条件1</w:t>
            </w:r>
          </w:p>
        </w:tc>
        <w:tc>
          <w:tcPr>
            <w:tcW w:w="12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w:t>
            </w:r>
            <w:r>
              <w:rPr>
                <w:rFonts w:hint="eastAsia" w:ascii="Times New Roman" w:hAnsi="Times New Roman" w:cs="Times New Roman"/>
                <w:color w:val="000000" w:themeColor="text1"/>
                <w:sz w:val="15"/>
                <w:szCs w:val="15"/>
                <w:highlight w:val="none"/>
                <w14:textFill>
                  <w14:solidFill>
                    <w14:schemeClr w14:val="tx1"/>
                  </w14:solidFill>
                </w14:textFill>
              </w:rPr>
              <w:t>级（</w:t>
            </w:r>
            <w:r>
              <w:rPr>
                <w:rFonts w:hint="eastAsia" w:ascii="Times New Roman" w:hAnsi="Times New Roman" w:cs="Times New Roman"/>
                <w:color w:val="000000" w:themeColor="text1"/>
                <w:sz w:val="15"/>
                <w:szCs w:val="15"/>
                <w:highlight w:val="none"/>
                <w:lang w:val="en-US"/>
                <w14:textFill>
                  <w14:solidFill>
                    <w14:schemeClr w14:val="tx1"/>
                  </w14:solidFill>
                </w14:textFill>
              </w:rPr>
              <w:t>A级</w:t>
            </w:r>
            <w:r>
              <w:rPr>
                <w:rFonts w:hint="eastAsia" w:ascii="Times New Roman" w:hAnsi="Times New Roman" w:cs="Times New Roman"/>
                <w:color w:val="000000" w:themeColor="text1"/>
                <w:sz w:val="15"/>
                <w:szCs w:val="15"/>
                <w:highlight w:val="none"/>
                <w14:textFill>
                  <w14:solidFill>
                    <w14:schemeClr w14:val="tx1"/>
                  </w14:solidFill>
                </w14:textFill>
              </w:rPr>
              <w:t>）单相电子式电能表≥</w:t>
            </w:r>
            <w:r>
              <w:rPr>
                <w:rFonts w:ascii="Times New Roman" w:hAnsi="Times New Roman" w:cs="Times New Roman"/>
                <w:color w:val="000000" w:themeColor="text1"/>
                <w:sz w:val="15"/>
                <w:szCs w:val="15"/>
                <w:highlight w:val="none"/>
                <w14:textFill>
                  <w14:solidFill>
                    <w14:schemeClr w14:val="tx1"/>
                  </w14:solidFill>
                </w14:textFill>
              </w:rPr>
              <w:t>20</w:t>
            </w:r>
            <w:r>
              <w:rPr>
                <w:rFonts w:hint="eastAsia" w:ascii="Times New Roman" w:hAnsi="Times New Roman" w:cs="Times New Roman"/>
                <w:color w:val="000000" w:themeColor="text1"/>
                <w:sz w:val="15"/>
                <w:szCs w:val="15"/>
                <w:highlight w:val="none"/>
                <w14:textFill>
                  <w14:solidFill>
                    <w14:schemeClr w14:val="tx1"/>
                  </w14:solidFill>
                </w14:textFill>
              </w:rPr>
              <w:t>万只</w:t>
            </w:r>
          </w:p>
        </w:tc>
        <w:tc>
          <w:tcPr>
            <w:tcW w:w="859" w:type="dxa"/>
            <w:vMerge w:val="restar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所投产品的计量器具型式批准证书（CPA）</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所投产品的全性能试验报告</w:t>
            </w:r>
          </w:p>
        </w:tc>
        <w:tc>
          <w:tcPr>
            <w:tcW w:w="956" w:type="dxa"/>
            <w:tcBorders>
              <w:top w:val="single" w:color="auto" w:sz="4" w:space="0"/>
              <w:left w:val="single" w:color="auto" w:sz="4" w:space="0"/>
              <w:bottom w:val="single" w:color="auto" w:sz="4" w:space="0"/>
              <w:right w:val="nil"/>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r>
              <w:rPr>
                <w:rFonts w:hint="eastAsia" w:ascii="Times New Roman" w:hAnsi="Times New Roman" w:cs="Times New Roman"/>
                <w:color w:val="000000" w:themeColor="text1"/>
                <w:sz w:val="15"/>
                <w:szCs w:val="15"/>
                <w:highlight w:val="none"/>
                <w14:textFill>
                  <w14:solidFill>
                    <w14:schemeClr w14:val="tx1"/>
                  </w14:solidFill>
                </w14:textFill>
              </w:rPr>
              <w:t>/</w:t>
            </w:r>
          </w:p>
        </w:tc>
      </w:tr>
      <w:tr>
        <w:tblPrEx>
          <w:tblLayout w:type="fixed"/>
          <w:tblCellMar>
            <w:top w:w="0" w:type="dxa"/>
            <w:left w:w="108" w:type="dxa"/>
            <w:bottom w:w="0" w:type="dxa"/>
            <w:right w:w="108" w:type="dxa"/>
          </w:tblCellMar>
        </w:tblPrEx>
        <w:trPr>
          <w:trHeight w:val="397" w:hRule="atLeast"/>
          <w:jc w:val="center"/>
        </w:trPr>
        <w:tc>
          <w:tcPr>
            <w:tcW w:w="1845" w:type="dxa"/>
            <w:vMerge w:val="restart"/>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B</w:t>
            </w:r>
            <w:r>
              <w:rPr>
                <w:rFonts w:ascii="Times New Roman" w:hAnsi="Times New Roman" w:cs="Times New Roman"/>
                <w:color w:val="000000" w:themeColor="text1"/>
                <w:sz w:val="15"/>
                <w:szCs w:val="15"/>
                <w:highlight w:val="none"/>
                <w14:textFill>
                  <w14:solidFill>
                    <w14:schemeClr w14:val="tx1"/>
                  </w14:solidFill>
                </w14:textFill>
              </w:rPr>
              <w:t>级三相智能电能表</w:t>
            </w:r>
            <w:r>
              <w:rPr>
                <w:rFonts w:hint="eastAsia" w:ascii="Times New Roman" w:hAnsi="Times New Roman" w:cs="Times New Roman"/>
                <w:color w:val="000000" w:themeColor="text1"/>
                <w:sz w:val="15"/>
                <w:szCs w:val="15"/>
                <w:highlight w:val="none"/>
                <w14:textFill>
                  <w14:solidFill>
                    <w14:schemeClr w14:val="tx1"/>
                  </w14:solidFill>
                </w14:textFill>
              </w:rPr>
              <w:t>、</w:t>
            </w:r>
          </w:p>
          <w:p>
            <w:pPr>
              <w:widowControl/>
              <w:snapToGrid w:val="0"/>
              <w:rPr>
                <w:rFonts w:ascii="Times New Roman" w:hAnsi="Times New Roman" w:cs="Times New Roman"/>
                <w:color w:val="000000" w:themeColor="text1"/>
                <w:sz w:val="15"/>
                <w:szCs w:val="15"/>
                <w:highlight w:val="none"/>
                <w:lang w:val="en-US"/>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B</w:t>
            </w:r>
            <w:r>
              <w:rPr>
                <w:rFonts w:ascii="Times New Roman" w:hAnsi="Times New Roman" w:cs="Times New Roman"/>
                <w:color w:val="000000" w:themeColor="text1"/>
                <w:sz w:val="15"/>
                <w:szCs w:val="15"/>
                <w:highlight w:val="none"/>
                <w:lang w:val="en-US"/>
                <w14:textFill>
                  <w14:solidFill>
                    <w14:schemeClr w14:val="tx1"/>
                  </w14:solidFill>
                </w14:textFill>
              </w:rPr>
              <w:t>级三相智能物联电能表</w:t>
            </w:r>
            <w:r>
              <w:rPr>
                <w:rFonts w:hint="eastAsia" w:ascii="Times New Roman" w:hAnsi="Times New Roman" w:cs="Times New Roman"/>
                <w:color w:val="000000" w:themeColor="text1"/>
                <w:sz w:val="15"/>
                <w:szCs w:val="15"/>
                <w:highlight w:val="none"/>
                <w:lang w:val="en-US"/>
                <w14:textFill>
                  <w14:solidFill>
                    <w14:schemeClr w14:val="tx1"/>
                  </w14:solidFill>
                </w14:textFill>
              </w:rPr>
              <w:t>、</w:t>
            </w:r>
          </w:p>
          <w:p>
            <w:pPr>
              <w:widowControl/>
              <w:snapToGrid w:val="0"/>
              <w:rPr>
                <w:rFonts w:ascii="Times New Roman" w:hAnsi="Times New Roman" w:cs="Times New Roman"/>
                <w:color w:val="000000" w:themeColor="text1"/>
                <w:sz w:val="15"/>
                <w:szCs w:val="15"/>
                <w:highlight w:val="none"/>
                <w:lang w:val="en-US"/>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C</w:t>
            </w:r>
            <w:r>
              <w:rPr>
                <w:rFonts w:ascii="Times New Roman" w:hAnsi="Times New Roman" w:cs="Times New Roman"/>
                <w:color w:val="000000" w:themeColor="text1"/>
                <w:sz w:val="15"/>
                <w:szCs w:val="15"/>
                <w:highlight w:val="none"/>
                <w:lang w:val="en-US"/>
                <w14:textFill>
                  <w14:solidFill>
                    <w14:schemeClr w14:val="tx1"/>
                  </w14:solidFill>
                </w14:textFill>
              </w:rPr>
              <w:t>级三相智能物联电能表</w:t>
            </w:r>
          </w:p>
        </w:tc>
        <w:tc>
          <w:tcPr>
            <w:tcW w:w="72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条件1</w:t>
            </w:r>
          </w:p>
        </w:tc>
        <w:tc>
          <w:tcPr>
            <w:tcW w:w="12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1级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hint="eastAsia" w:ascii="Times New Roman" w:hAnsi="Times New Roman" w:cs="Times New Roman"/>
                <w:color w:val="000000" w:themeColor="text1"/>
                <w:sz w:val="15"/>
                <w:szCs w:val="15"/>
                <w:highlight w:val="none"/>
                <w:lang w:val="en-US"/>
                <w14:textFill>
                  <w14:solidFill>
                    <w14:schemeClr w14:val="tx1"/>
                  </w14:solidFill>
                </w14:textFill>
              </w:rPr>
              <w:t>B</w:t>
            </w:r>
            <w:r>
              <w:rPr>
                <w:rFonts w:ascii="Times New Roman" w:hAnsi="Times New Roman" w:cs="Times New Roman"/>
                <w:color w:val="000000" w:themeColor="text1"/>
                <w:sz w:val="15"/>
                <w:szCs w:val="15"/>
                <w:highlight w:val="none"/>
                <w14:textFill>
                  <w14:solidFill>
                    <w14:schemeClr w14:val="tx1"/>
                  </w14:solidFill>
                </w14:textFill>
              </w:rPr>
              <w:t>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ascii="Times New Roman" w:hAnsi="Times New Roman" w:cs="Times New Roman"/>
                <w:color w:val="000000" w:themeColor="text1"/>
                <w:sz w:val="15"/>
                <w:szCs w:val="15"/>
                <w:highlight w:val="none"/>
                <w14:textFill>
                  <w14:solidFill>
                    <w14:schemeClr w14:val="tx1"/>
                  </w14:solidFill>
                </w14:textFill>
              </w:rPr>
              <w:t>三相电子式电能表≥2万只</w:t>
            </w:r>
          </w:p>
        </w:tc>
        <w:tc>
          <w:tcPr>
            <w:tcW w:w="859" w:type="dxa"/>
            <w:vMerge w:val="continue"/>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56" w:type="dxa"/>
            <w:vMerge w:val="restart"/>
            <w:tcBorders>
              <w:top w:val="single" w:color="auto" w:sz="4" w:space="0"/>
              <w:left w:val="single" w:color="auto" w:sz="4" w:space="0"/>
              <w:bottom w:val="single" w:color="auto" w:sz="4"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满足条件1</w:t>
            </w:r>
            <w:r>
              <w:rPr>
                <w:rFonts w:ascii="Times New Roman" w:hAnsi="Times New Roman" w:cs="Times New Roman"/>
                <w:b/>
                <w:color w:val="000000" w:themeColor="text1"/>
                <w:sz w:val="15"/>
                <w:szCs w:val="15"/>
                <w:highlight w:val="none"/>
                <w14:textFill>
                  <w14:solidFill>
                    <w14:schemeClr w14:val="tx1"/>
                  </w14:solidFill>
                </w14:textFill>
              </w:rPr>
              <w:t>或</w:t>
            </w:r>
            <w:r>
              <w:rPr>
                <w:rFonts w:ascii="Times New Roman" w:hAnsi="Times New Roman" w:cs="Times New Roman"/>
                <w:color w:val="000000" w:themeColor="text1"/>
                <w:sz w:val="15"/>
                <w:szCs w:val="15"/>
                <w:highlight w:val="none"/>
                <w14:textFill>
                  <w14:solidFill>
                    <w14:schemeClr w14:val="tx1"/>
                  </w14:solidFill>
                </w14:textFill>
              </w:rPr>
              <w:t>条件2</w:t>
            </w:r>
          </w:p>
        </w:tc>
      </w:tr>
      <w:tr>
        <w:tblPrEx>
          <w:tblLayout w:type="fixed"/>
          <w:tblCellMar>
            <w:top w:w="0" w:type="dxa"/>
            <w:left w:w="108" w:type="dxa"/>
            <w:bottom w:w="0" w:type="dxa"/>
            <w:right w:w="108" w:type="dxa"/>
          </w:tblCellMar>
        </w:tblPrEx>
        <w:trPr>
          <w:trHeight w:val="397" w:hRule="atLeast"/>
          <w:jc w:val="center"/>
        </w:trPr>
        <w:tc>
          <w:tcPr>
            <w:tcW w:w="1845" w:type="dxa"/>
            <w:vMerge w:val="continue"/>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条件2</w:t>
            </w:r>
          </w:p>
        </w:tc>
        <w:tc>
          <w:tcPr>
            <w:tcW w:w="12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hint="eastAsia" w:ascii="Times New Roman" w:hAnsi="Times New Roman" w:cs="Times New Roman"/>
                <w:color w:val="000000" w:themeColor="text1"/>
                <w:sz w:val="15"/>
                <w:szCs w:val="15"/>
                <w:highlight w:val="none"/>
                <w:lang w:val="en-US"/>
                <w14:textFill>
                  <w14:solidFill>
                    <w14:schemeClr w14:val="tx1"/>
                  </w14:solidFill>
                </w14:textFill>
              </w:rPr>
              <w:t>A级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ascii="Times New Roman" w:hAnsi="Times New Roman" w:cs="Times New Roman"/>
                <w:color w:val="000000" w:themeColor="text1"/>
                <w:sz w:val="15"/>
                <w:szCs w:val="15"/>
                <w:highlight w:val="none"/>
                <w14:textFill>
                  <w14:solidFill>
                    <w14:schemeClr w14:val="tx1"/>
                  </w14:solidFill>
                </w14:textFill>
              </w:rPr>
              <w:t>单相电子式电能表≥200万只</w:t>
            </w:r>
          </w:p>
        </w:tc>
        <w:tc>
          <w:tcPr>
            <w:tcW w:w="859" w:type="dxa"/>
            <w:vMerge w:val="continue"/>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56" w:type="dxa"/>
            <w:vMerge w:val="continue"/>
            <w:tcBorders>
              <w:top w:val="single" w:color="auto" w:sz="4" w:space="0"/>
              <w:left w:val="single" w:color="auto" w:sz="4" w:space="0"/>
              <w:bottom w:val="single" w:color="auto" w:sz="4"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1845" w:type="dxa"/>
            <w:vMerge w:val="restart"/>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C</w:t>
            </w:r>
            <w:r>
              <w:rPr>
                <w:rFonts w:ascii="Times New Roman" w:hAnsi="Times New Roman" w:cs="Times New Roman"/>
                <w:color w:val="000000" w:themeColor="text1"/>
                <w:sz w:val="15"/>
                <w:szCs w:val="15"/>
                <w:highlight w:val="none"/>
                <w14:textFill>
                  <w14:solidFill>
                    <w14:schemeClr w14:val="tx1"/>
                  </w14:solidFill>
                </w14:textFill>
              </w:rPr>
              <w:t>级三相智能电能表</w:t>
            </w:r>
          </w:p>
        </w:tc>
        <w:tc>
          <w:tcPr>
            <w:tcW w:w="72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条件1</w:t>
            </w:r>
          </w:p>
        </w:tc>
        <w:tc>
          <w:tcPr>
            <w:tcW w:w="12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0.5S级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hint="eastAsia" w:ascii="Times New Roman" w:hAnsi="Times New Roman" w:cs="Times New Roman"/>
                <w:color w:val="000000" w:themeColor="text1"/>
                <w:sz w:val="15"/>
                <w:szCs w:val="15"/>
                <w:highlight w:val="none"/>
                <w:lang w:val="en-US"/>
                <w14:textFill>
                  <w14:solidFill>
                    <w14:schemeClr w14:val="tx1"/>
                  </w14:solidFill>
                </w14:textFill>
              </w:rPr>
              <w:t>C</w:t>
            </w:r>
            <w:r>
              <w:rPr>
                <w:rFonts w:ascii="Times New Roman" w:hAnsi="Times New Roman" w:cs="Times New Roman"/>
                <w:color w:val="000000" w:themeColor="text1"/>
                <w:sz w:val="15"/>
                <w:szCs w:val="15"/>
                <w:highlight w:val="none"/>
                <w14:textFill>
                  <w14:solidFill>
                    <w14:schemeClr w14:val="tx1"/>
                  </w14:solidFill>
                </w14:textFill>
              </w:rPr>
              <w:t>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ascii="Times New Roman" w:hAnsi="Times New Roman" w:cs="Times New Roman"/>
                <w:color w:val="000000" w:themeColor="text1"/>
                <w:sz w:val="15"/>
                <w:szCs w:val="15"/>
                <w:highlight w:val="none"/>
                <w14:textFill>
                  <w14:solidFill>
                    <w14:schemeClr w14:val="tx1"/>
                  </w14:solidFill>
                </w14:textFill>
              </w:rPr>
              <w:t>三相电子式电能表≥1万只</w:t>
            </w:r>
          </w:p>
        </w:tc>
        <w:tc>
          <w:tcPr>
            <w:tcW w:w="859" w:type="dxa"/>
            <w:vMerge w:val="continue"/>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56" w:type="dxa"/>
            <w:vMerge w:val="restart"/>
            <w:tcBorders>
              <w:top w:val="single" w:color="auto" w:sz="4" w:space="0"/>
              <w:left w:val="single" w:color="auto" w:sz="4" w:space="0"/>
              <w:bottom w:val="single" w:color="auto" w:sz="4"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满足条件1</w:t>
            </w:r>
            <w:r>
              <w:rPr>
                <w:rFonts w:ascii="Times New Roman" w:hAnsi="Times New Roman" w:cs="Times New Roman"/>
                <w:b/>
                <w:color w:val="000000" w:themeColor="text1"/>
                <w:sz w:val="15"/>
                <w:szCs w:val="15"/>
                <w:highlight w:val="none"/>
                <w14:textFill>
                  <w14:solidFill>
                    <w14:schemeClr w14:val="tx1"/>
                  </w14:solidFill>
                </w14:textFill>
              </w:rPr>
              <w:t>或</w:t>
            </w:r>
            <w:r>
              <w:rPr>
                <w:rFonts w:ascii="Times New Roman" w:hAnsi="Times New Roman" w:cs="Times New Roman"/>
                <w:color w:val="000000" w:themeColor="text1"/>
                <w:sz w:val="15"/>
                <w:szCs w:val="15"/>
                <w:highlight w:val="none"/>
                <w14:textFill>
                  <w14:solidFill>
                    <w14:schemeClr w14:val="tx1"/>
                  </w14:solidFill>
                </w14:textFill>
              </w:rPr>
              <w:t>条件2</w:t>
            </w:r>
          </w:p>
        </w:tc>
      </w:tr>
      <w:tr>
        <w:tblPrEx>
          <w:tblLayout w:type="fixed"/>
          <w:tblCellMar>
            <w:top w:w="0" w:type="dxa"/>
            <w:left w:w="108" w:type="dxa"/>
            <w:bottom w:w="0" w:type="dxa"/>
            <w:right w:w="108" w:type="dxa"/>
          </w:tblCellMar>
        </w:tblPrEx>
        <w:trPr>
          <w:trHeight w:val="397" w:hRule="atLeast"/>
          <w:jc w:val="center"/>
        </w:trPr>
        <w:tc>
          <w:tcPr>
            <w:tcW w:w="1845" w:type="dxa"/>
            <w:vMerge w:val="continue"/>
            <w:tcBorders>
              <w:top w:val="single" w:color="auto" w:sz="4" w:space="0"/>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条件2</w:t>
            </w:r>
          </w:p>
        </w:tc>
        <w:tc>
          <w:tcPr>
            <w:tcW w:w="12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1级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hint="eastAsia" w:ascii="Times New Roman" w:hAnsi="Times New Roman" w:cs="Times New Roman"/>
                <w:color w:val="000000" w:themeColor="text1"/>
                <w:sz w:val="15"/>
                <w:szCs w:val="15"/>
                <w:highlight w:val="none"/>
                <w:lang w:val="en-US"/>
                <w14:textFill>
                  <w14:solidFill>
                    <w14:schemeClr w14:val="tx1"/>
                  </w14:solidFill>
                </w14:textFill>
              </w:rPr>
              <w:t>B</w:t>
            </w:r>
            <w:r>
              <w:rPr>
                <w:rFonts w:ascii="Times New Roman" w:hAnsi="Times New Roman" w:cs="Times New Roman"/>
                <w:color w:val="000000" w:themeColor="text1"/>
                <w:sz w:val="15"/>
                <w:szCs w:val="15"/>
                <w:highlight w:val="none"/>
                <w14:textFill>
                  <w14:solidFill>
                    <w14:schemeClr w14:val="tx1"/>
                  </w14:solidFill>
                </w14:textFill>
              </w:rPr>
              <w:t>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ascii="Times New Roman" w:hAnsi="Times New Roman" w:cs="Times New Roman"/>
                <w:color w:val="000000" w:themeColor="text1"/>
                <w:sz w:val="15"/>
                <w:szCs w:val="15"/>
                <w:highlight w:val="none"/>
                <w14:textFill>
                  <w14:solidFill>
                    <w14:schemeClr w14:val="tx1"/>
                  </w14:solidFill>
                </w14:textFill>
              </w:rPr>
              <w:t>三相电子式电能表≥90万只</w:t>
            </w:r>
          </w:p>
        </w:tc>
        <w:tc>
          <w:tcPr>
            <w:tcW w:w="859" w:type="dxa"/>
            <w:vMerge w:val="continue"/>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56" w:type="dxa"/>
            <w:vMerge w:val="continue"/>
            <w:tcBorders>
              <w:top w:val="single" w:color="auto" w:sz="4" w:space="0"/>
              <w:left w:val="single" w:color="auto" w:sz="4" w:space="0"/>
              <w:bottom w:val="single" w:color="auto" w:sz="4"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1845" w:type="dxa"/>
            <w:vMerge w:val="restart"/>
            <w:tcBorders>
              <w:top w:val="single" w:color="auto" w:sz="4" w:space="0"/>
              <w:left w:val="nil"/>
              <w:bottom w:val="double" w:color="auto" w:sz="6"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hint="eastAsia" w:ascii="Times New Roman" w:hAnsi="Times New Roman" w:cs="Times New Roman"/>
                <w:color w:val="000000" w:themeColor="text1"/>
                <w:sz w:val="15"/>
                <w:szCs w:val="15"/>
                <w:highlight w:val="none"/>
                <w:lang w:val="en-US"/>
                <w14:textFill>
                  <w14:solidFill>
                    <w14:schemeClr w14:val="tx1"/>
                  </w14:solidFill>
                </w14:textFill>
              </w:rPr>
              <w:t>D</w:t>
            </w:r>
            <w:r>
              <w:rPr>
                <w:rFonts w:ascii="Times New Roman" w:hAnsi="Times New Roman" w:cs="Times New Roman"/>
                <w:color w:val="000000" w:themeColor="text1"/>
                <w:sz w:val="15"/>
                <w:szCs w:val="15"/>
                <w:highlight w:val="none"/>
                <w14:textFill>
                  <w14:solidFill>
                    <w14:schemeClr w14:val="tx1"/>
                  </w14:solidFill>
                </w14:textFill>
              </w:rPr>
              <w:t>级三相智能电能表</w:t>
            </w:r>
          </w:p>
        </w:tc>
        <w:tc>
          <w:tcPr>
            <w:tcW w:w="723" w:type="dxa"/>
            <w:tcBorders>
              <w:top w:val="single" w:color="auto" w:sz="4" w:space="0"/>
              <w:left w:val="single" w:color="auto" w:sz="4" w:space="0"/>
              <w:bottom w:val="double" w:color="auto" w:sz="6"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条件1</w:t>
            </w:r>
          </w:p>
        </w:tc>
        <w:tc>
          <w:tcPr>
            <w:tcW w:w="1202" w:type="dxa"/>
            <w:tcBorders>
              <w:top w:val="single" w:color="auto" w:sz="4" w:space="0"/>
              <w:left w:val="single" w:color="auto" w:sz="4" w:space="0"/>
              <w:bottom w:val="double" w:color="auto" w:sz="6"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single" w:color="auto" w:sz="4" w:space="0"/>
              <w:left w:val="single" w:color="auto" w:sz="4" w:space="0"/>
              <w:bottom w:val="double" w:color="auto" w:sz="6"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0.2S级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hint="eastAsia" w:ascii="Times New Roman" w:hAnsi="Times New Roman" w:cs="Times New Roman"/>
                <w:color w:val="000000" w:themeColor="text1"/>
                <w:sz w:val="15"/>
                <w:szCs w:val="15"/>
                <w:highlight w:val="none"/>
                <w:lang w:val="en-US"/>
                <w14:textFill>
                  <w14:solidFill>
                    <w14:schemeClr w14:val="tx1"/>
                  </w14:solidFill>
                </w14:textFill>
              </w:rPr>
              <w:t>D</w:t>
            </w:r>
            <w:r>
              <w:rPr>
                <w:rFonts w:ascii="Times New Roman" w:hAnsi="Times New Roman" w:cs="Times New Roman"/>
                <w:color w:val="000000" w:themeColor="text1"/>
                <w:sz w:val="15"/>
                <w:szCs w:val="15"/>
                <w:highlight w:val="none"/>
                <w14:textFill>
                  <w14:solidFill>
                    <w14:schemeClr w14:val="tx1"/>
                  </w14:solidFill>
                </w14:textFill>
              </w:rPr>
              <w:t>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ascii="Times New Roman" w:hAnsi="Times New Roman" w:cs="Times New Roman"/>
                <w:color w:val="000000" w:themeColor="text1"/>
                <w:sz w:val="15"/>
                <w:szCs w:val="15"/>
                <w:highlight w:val="none"/>
                <w14:textFill>
                  <w14:solidFill>
                    <w14:schemeClr w14:val="tx1"/>
                  </w14:solidFill>
                </w14:textFill>
              </w:rPr>
              <w:t>三相电子式电能表≥100只</w:t>
            </w:r>
          </w:p>
        </w:tc>
        <w:tc>
          <w:tcPr>
            <w:tcW w:w="859" w:type="dxa"/>
            <w:vMerge w:val="continue"/>
            <w:tcBorders>
              <w:top w:val="single" w:color="auto" w:sz="4" w:space="0"/>
              <w:left w:val="single" w:color="auto" w:sz="4" w:space="0"/>
              <w:bottom w:val="double" w:color="auto" w:sz="6"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08" w:type="dxa"/>
            <w:vMerge w:val="continue"/>
            <w:tcBorders>
              <w:top w:val="single" w:color="auto" w:sz="4" w:space="0"/>
              <w:left w:val="single" w:color="auto" w:sz="4" w:space="0"/>
              <w:bottom w:val="double" w:color="auto" w:sz="6"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56" w:type="dxa"/>
            <w:vMerge w:val="restart"/>
            <w:tcBorders>
              <w:top w:val="single" w:color="auto" w:sz="4" w:space="0"/>
              <w:left w:val="single" w:color="auto" w:sz="4" w:space="0"/>
              <w:bottom w:val="double" w:color="auto" w:sz="6"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满足条件1</w:t>
            </w:r>
            <w:r>
              <w:rPr>
                <w:rFonts w:ascii="Times New Roman" w:hAnsi="Times New Roman" w:cs="Times New Roman"/>
                <w:b/>
                <w:color w:val="000000" w:themeColor="text1"/>
                <w:sz w:val="15"/>
                <w:szCs w:val="15"/>
                <w:highlight w:val="none"/>
                <w14:textFill>
                  <w14:solidFill>
                    <w14:schemeClr w14:val="tx1"/>
                  </w14:solidFill>
                </w14:textFill>
              </w:rPr>
              <w:t>或</w:t>
            </w:r>
            <w:r>
              <w:rPr>
                <w:rFonts w:ascii="Times New Roman" w:hAnsi="Times New Roman" w:cs="Times New Roman"/>
                <w:color w:val="000000" w:themeColor="text1"/>
                <w:sz w:val="15"/>
                <w:szCs w:val="15"/>
                <w:highlight w:val="none"/>
                <w14:textFill>
                  <w14:solidFill>
                    <w14:schemeClr w14:val="tx1"/>
                  </w14:solidFill>
                </w14:textFill>
              </w:rPr>
              <w:t>条件2</w:t>
            </w:r>
          </w:p>
        </w:tc>
      </w:tr>
      <w:tr>
        <w:tblPrEx>
          <w:tblLayout w:type="fixed"/>
          <w:tblCellMar>
            <w:top w:w="0" w:type="dxa"/>
            <w:left w:w="108" w:type="dxa"/>
            <w:bottom w:w="0" w:type="dxa"/>
            <w:right w:w="108" w:type="dxa"/>
          </w:tblCellMar>
        </w:tblPrEx>
        <w:trPr>
          <w:trHeight w:val="397" w:hRule="atLeast"/>
          <w:jc w:val="center"/>
        </w:trPr>
        <w:tc>
          <w:tcPr>
            <w:tcW w:w="1845" w:type="dxa"/>
            <w:vMerge w:val="continue"/>
            <w:tcBorders>
              <w:top w:val="double" w:color="auto" w:sz="6" w:space="0"/>
              <w:left w:val="nil"/>
              <w:bottom w:val="double" w:color="auto" w:sz="6"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723" w:type="dxa"/>
            <w:tcBorders>
              <w:top w:val="double" w:color="auto" w:sz="6" w:space="0"/>
              <w:left w:val="single" w:color="auto" w:sz="4" w:space="0"/>
              <w:bottom w:val="double" w:color="auto" w:sz="6"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条件2</w:t>
            </w:r>
          </w:p>
        </w:tc>
        <w:tc>
          <w:tcPr>
            <w:tcW w:w="1202" w:type="dxa"/>
            <w:tcBorders>
              <w:top w:val="double" w:color="auto" w:sz="6" w:space="0"/>
              <w:left w:val="single" w:color="auto" w:sz="4" w:space="0"/>
              <w:bottom w:val="double" w:color="auto" w:sz="6"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47" w:type="dxa"/>
            <w:gridSpan w:val="2"/>
            <w:tcBorders>
              <w:top w:val="double" w:color="auto" w:sz="6" w:space="0"/>
              <w:left w:val="single" w:color="auto" w:sz="4" w:space="0"/>
              <w:bottom w:val="double" w:color="auto" w:sz="6" w:space="0"/>
              <w:right w:val="single" w:color="000000" w:sz="8"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0.5S级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hint="eastAsia" w:ascii="Times New Roman" w:hAnsi="Times New Roman" w:cs="Times New Roman"/>
                <w:color w:val="000000" w:themeColor="text1"/>
                <w:sz w:val="15"/>
                <w:szCs w:val="15"/>
                <w:highlight w:val="none"/>
                <w:lang w:val="en-US"/>
                <w14:textFill>
                  <w14:solidFill>
                    <w14:schemeClr w14:val="tx1"/>
                  </w14:solidFill>
                </w14:textFill>
              </w:rPr>
              <w:t>C</w:t>
            </w:r>
            <w:r>
              <w:rPr>
                <w:rFonts w:ascii="Times New Roman" w:hAnsi="Times New Roman" w:cs="Times New Roman"/>
                <w:color w:val="000000" w:themeColor="text1"/>
                <w:sz w:val="15"/>
                <w:szCs w:val="15"/>
                <w:highlight w:val="none"/>
                <w14:textFill>
                  <w14:solidFill>
                    <w14:schemeClr w14:val="tx1"/>
                  </w14:solidFill>
                </w14:textFill>
              </w:rPr>
              <w:t>级</w:t>
            </w:r>
            <w:r>
              <w:rPr>
                <w:rFonts w:hint="eastAsia" w:ascii="Times New Roman" w:hAnsi="Times New Roman" w:cs="Times New Roman"/>
                <w:color w:val="000000" w:themeColor="text1"/>
                <w:sz w:val="15"/>
                <w:szCs w:val="15"/>
                <w:highlight w:val="none"/>
                <w14:textFill>
                  <w14:solidFill>
                    <w14:schemeClr w14:val="tx1"/>
                  </w14:solidFill>
                </w14:textFill>
              </w:rPr>
              <w:t>）</w:t>
            </w:r>
            <w:r>
              <w:rPr>
                <w:rFonts w:ascii="Times New Roman" w:hAnsi="Times New Roman" w:cs="Times New Roman"/>
                <w:color w:val="000000" w:themeColor="text1"/>
                <w:sz w:val="15"/>
                <w:szCs w:val="15"/>
                <w:highlight w:val="none"/>
                <w14:textFill>
                  <w14:solidFill>
                    <w14:schemeClr w14:val="tx1"/>
                  </w14:solidFill>
                </w14:textFill>
              </w:rPr>
              <w:t>三相电子式电能表≥10万只</w:t>
            </w:r>
          </w:p>
        </w:tc>
        <w:tc>
          <w:tcPr>
            <w:tcW w:w="859" w:type="dxa"/>
            <w:vMerge w:val="continue"/>
            <w:tcBorders>
              <w:top w:val="double" w:color="auto" w:sz="6" w:space="0"/>
              <w:left w:val="nil"/>
              <w:bottom w:val="double" w:color="auto" w:sz="6"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08" w:type="dxa"/>
            <w:vMerge w:val="continue"/>
            <w:tcBorders>
              <w:top w:val="double" w:color="auto" w:sz="6" w:space="0"/>
              <w:left w:val="single" w:color="auto" w:sz="8" w:space="0"/>
              <w:bottom w:val="double" w:color="auto" w:sz="6"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56" w:type="dxa"/>
            <w:vMerge w:val="continue"/>
            <w:tcBorders>
              <w:top w:val="double" w:color="auto" w:sz="6" w:space="0"/>
              <w:left w:val="single" w:color="auto" w:sz="4" w:space="0"/>
              <w:bottom w:val="double" w:color="auto" w:sz="6"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r>
    </w:tbl>
    <w:p>
      <w:pPr>
        <w:rPr>
          <w:rFonts w:ascii="Times New Roman" w:hAnsi="Times New Roman" w:cs="Times New Roman"/>
          <w:color w:val="000000" w:themeColor="text1"/>
          <w:highlight w:val="none"/>
          <w14:textFill>
            <w14:solidFill>
              <w14:schemeClr w14:val="tx1"/>
            </w14:solidFill>
          </w14:textFill>
        </w:rPr>
      </w:pPr>
    </w:p>
    <w:tbl>
      <w:tblPr>
        <w:tblStyle w:val="19"/>
        <w:tblW w:w="9740" w:type="dxa"/>
        <w:jc w:val="center"/>
        <w:tblInd w:w="0" w:type="dxa"/>
        <w:tblLayout w:type="fixed"/>
        <w:tblCellMar>
          <w:top w:w="0" w:type="dxa"/>
          <w:left w:w="108" w:type="dxa"/>
          <w:bottom w:w="0" w:type="dxa"/>
          <w:right w:w="108" w:type="dxa"/>
        </w:tblCellMar>
      </w:tblPr>
      <w:tblGrid>
        <w:gridCol w:w="1837"/>
        <w:gridCol w:w="725"/>
        <w:gridCol w:w="1204"/>
        <w:gridCol w:w="3368"/>
        <w:gridCol w:w="847"/>
        <w:gridCol w:w="836"/>
        <w:gridCol w:w="923"/>
      </w:tblGrid>
      <w:tr>
        <w:tblPrEx>
          <w:tblLayout w:type="fixed"/>
          <w:tblCellMar>
            <w:top w:w="0" w:type="dxa"/>
            <w:left w:w="108" w:type="dxa"/>
            <w:bottom w:w="0" w:type="dxa"/>
            <w:right w:w="108" w:type="dxa"/>
          </w:tblCellMar>
        </w:tblPrEx>
        <w:trPr>
          <w:trHeight w:val="285" w:hRule="atLeast"/>
          <w:jc w:val="center"/>
        </w:trPr>
        <w:tc>
          <w:tcPr>
            <w:tcW w:w="9740" w:type="dxa"/>
            <w:gridSpan w:val="7"/>
            <w:tcBorders>
              <w:top w:val="nil"/>
              <w:left w:val="nil"/>
              <w:bottom w:val="double" w:color="auto" w:sz="6" w:space="0"/>
              <w:right w:val="nil"/>
            </w:tcBorders>
          </w:tcPr>
          <w:p>
            <w:pPr>
              <w:widowControl/>
              <w:snapToGrid w:val="0"/>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用电信息采集设备</w:t>
            </w:r>
          </w:p>
        </w:tc>
      </w:tr>
      <w:tr>
        <w:tblPrEx>
          <w:tblLayout w:type="fixed"/>
          <w:tblCellMar>
            <w:top w:w="0" w:type="dxa"/>
            <w:left w:w="108" w:type="dxa"/>
            <w:bottom w:w="0" w:type="dxa"/>
            <w:right w:w="108" w:type="dxa"/>
          </w:tblCellMar>
        </w:tblPrEx>
        <w:trPr>
          <w:trHeight w:val="295" w:hRule="atLeast"/>
          <w:jc w:val="center"/>
        </w:trPr>
        <w:tc>
          <w:tcPr>
            <w:tcW w:w="1837" w:type="dxa"/>
            <w:vMerge w:val="restart"/>
            <w:tcBorders>
              <w:top w:val="double" w:color="auto" w:sz="6" w:space="0"/>
              <w:left w:val="nil"/>
              <w:right w:val="single" w:color="auto" w:sz="4" w:space="0"/>
            </w:tcBorders>
            <w:vAlign w:val="center"/>
          </w:tcPr>
          <w:p>
            <w:pPr>
              <w:widowControl/>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货物名称</w:t>
            </w:r>
          </w:p>
        </w:tc>
        <w:tc>
          <w:tcPr>
            <w:tcW w:w="5297" w:type="dxa"/>
            <w:gridSpan w:val="3"/>
            <w:tcBorders>
              <w:top w:val="double" w:color="auto" w:sz="6" w:space="0"/>
              <w:left w:val="single" w:color="auto" w:sz="4" w:space="0"/>
              <w:bottom w:val="single" w:color="auto" w:sz="4" w:space="0"/>
              <w:right w:val="single" w:color="000000" w:sz="8"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业绩要求</w:t>
            </w:r>
          </w:p>
        </w:tc>
        <w:tc>
          <w:tcPr>
            <w:tcW w:w="847" w:type="dxa"/>
            <w:vMerge w:val="restart"/>
            <w:tcBorders>
              <w:top w:val="nil"/>
              <w:left w:val="nil"/>
              <w:right w:val="single" w:color="auto" w:sz="4" w:space="0"/>
            </w:tcBorders>
            <w:vAlign w:val="center"/>
          </w:tcPr>
          <w:p>
            <w:pPr>
              <w:widowControl/>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生产许可证</w:t>
            </w:r>
          </w:p>
        </w:tc>
        <w:tc>
          <w:tcPr>
            <w:tcW w:w="836" w:type="dxa"/>
            <w:vMerge w:val="restart"/>
            <w:tcBorders>
              <w:top w:val="nil"/>
              <w:left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试验报告</w:t>
            </w:r>
          </w:p>
        </w:tc>
        <w:tc>
          <w:tcPr>
            <w:tcW w:w="923" w:type="dxa"/>
            <w:vMerge w:val="restart"/>
            <w:tcBorders>
              <w:top w:val="nil"/>
              <w:left w:val="single" w:color="auto" w:sz="4" w:space="0"/>
              <w:right w:val="nil"/>
            </w:tcBorders>
            <w:vAlign w:val="center"/>
          </w:tcPr>
          <w:p>
            <w:pPr>
              <w:snapToGrid w:val="0"/>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备注</w:t>
            </w:r>
          </w:p>
        </w:tc>
      </w:tr>
      <w:tr>
        <w:tblPrEx>
          <w:tblLayout w:type="fixed"/>
          <w:tblCellMar>
            <w:top w:w="0" w:type="dxa"/>
            <w:left w:w="108" w:type="dxa"/>
            <w:bottom w:w="0" w:type="dxa"/>
            <w:right w:w="108" w:type="dxa"/>
          </w:tblCellMar>
        </w:tblPrEx>
        <w:trPr>
          <w:trHeight w:val="290" w:hRule="atLeast"/>
          <w:jc w:val="center"/>
        </w:trPr>
        <w:tc>
          <w:tcPr>
            <w:tcW w:w="1837" w:type="dxa"/>
            <w:vMerge w:val="continue"/>
            <w:tcBorders>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条件</w:t>
            </w:r>
          </w:p>
        </w:tc>
        <w:tc>
          <w:tcPr>
            <w:tcW w:w="12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供货时间</w:t>
            </w:r>
          </w:p>
        </w:tc>
        <w:tc>
          <w:tcPr>
            <w:tcW w:w="3368" w:type="dxa"/>
            <w:tcBorders>
              <w:top w:val="single" w:color="auto" w:sz="8" w:space="0"/>
              <w:left w:val="single" w:color="auto" w:sz="4" w:space="0"/>
              <w:bottom w:val="single" w:color="auto" w:sz="4" w:space="0"/>
              <w:right w:val="single" w:color="000000" w:sz="8" w:space="0"/>
            </w:tcBorders>
            <w:vAlign w:val="center"/>
          </w:tcPr>
          <w:p>
            <w:pPr>
              <w:snapToGrid w:val="0"/>
              <w:jc w:val="center"/>
              <w:rPr>
                <w:rFonts w:ascii="Times New Roman" w:hAnsi="Times New Roman" w:cs="Times New Roman"/>
                <w:b/>
                <w:color w:val="000000" w:themeColor="text1"/>
                <w:sz w:val="15"/>
                <w:szCs w:val="15"/>
                <w:highlight w:val="none"/>
                <w14:textFill>
                  <w14:solidFill>
                    <w14:schemeClr w14:val="tx1"/>
                  </w14:solidFill>
                </w14:textFill>
              </w:rPr>
            </w:pPr>
            <w:r>
              <w:rPr>
                <w:rFonts w:ascii="Times New Roman" w:hAnsi="Times New Roman" w:cs="Times New Roman"/>
                <w:b/>
                <w:color w:val="000000" w:themeColor="text1"/>
                <w:sz w:val="15"/>
                <w:szCs w:val="15"/>
                <w:highlight w:val="none"/>
                <w14:textFill>
                  <w14:solidFill>
                    <w14:schemeClr w14:val="tx1"/>
                  </w14:solidFill>
                </w14:textFill>
              </w:rPr>
              <w:t>供货数量</w:t>
            </w:r>
          </w:p>
        </w:tc>
        <w:tc>
          <w:tcPr>
            <w:tcW w:w="847" w:type="dxa"/>
            <w:vMerge w:val="continue"/>
            <w:tcBorders>
              <w:left w:val="nil"/>
              <w:bottom w:val="single" w:color="auto" w:sz="4" w:space="0"/>
              <w:right w:val="single" w:color="auto" w:sz="4" w:space="0"/>
            </w:tcBorders>
          </w:tcPr>
          <w:p>
            <w:pPr>
              <w:snapToGrid w:val="0"/>
              <w:rPr>
                <w:rFonts w:ascii="Times New Roman" w:hAnsi="Times New Roman" w:cs="Times New Roman"/>
                <w:b/>
                <w:color w:val="000000" w:themeColor="text1"/>
                <w:sz w:val="15"/>
                <w:szCs w:val="15"/>
                <w:highlight w:val="none"/>
                <w14:textFill>
                  <w14:solidFill>
                    <w14:schemeClr w14:val="tx1"/>
                  </w14:solidFill>
                </w14:textFill>
              </w:rPr>
            </w:pPr>
          </w:p>
        </w:tc>
        <w:tc>
          <w:tcPr>
            <w:tcW w:w="836" w:type="dxa"/>
            <w:vMerge w:val="continue"/>
            <w:tcBorders>
              <w:left w:val="single" w:color="auto" w:sz="4" w:space="0"/>
              <w:bottom w:val="single" w:color="auto" w:sz="4" w:space="0"/>
              <w:right w:val="single" w:color="auto" w:sz="4" w:space="0"/>
            </w:tcBorders>
            <w:vAlign w:val="center"/>
          </w:tcPr>
          <w:p>
            <w:pPr>
              <w:snapToGrid w:val="0"/>
              <w:rPr>
                <w:rFonts w:ascii="Times New Roman" w:hAnsi="Times New Roman" w:cs="Times New Roman"/>
                <w:b/>
                <w:color w:val="000000" w:themeColor="text1"/>
                <w:sz w:val="15"/>
                <w:szCs w:val="15"/>
                <w:highlight w:val="none"/>
                <w14:textFill>
                  <w14:solidFill>
                    <w14:schemeClr w14:val="tx1"/>
                  </w14:solidFill>
                </w14:textFill>
              </w:rPr>
            </w:pPr>
          </w:p>
        </w:tc>
        <w:tc>
          <w:tcPr>
            <w:tcW w:w="923" w:type="dxa"/>
            <w:vMerge w:val="continue"/>
            <w:tcBorders>
              <w:left w:val="single" w:color="auto" w:sz="4" w:space="0"/>
              <w:bottom w:val="single" w:color="auto" w:sz="4" w:space="0"/>
              <w:right w:val="nil"/>
            </w:tcBorders>
            <w:vAlign w:val="center"/>
          </w:tcPr>
          <w:p>
            <w:pPr>
              <w:snapToGrid w:val="0"/>
              <w:rPr>
                <w:rFonts w:ascii="Times New Roman" w:hAnsi="Times New Roman" w:cs="Times New Roman"/>
                <w:b/>
                <w:color w:val="000000" w:themeColor="text1"/>
                <w:sz w:val="15"/>
                <w:szCs w:val="15"/>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452" w:hRule="atLeast"/>
          <w:jc w:val="center"/>
        </w:trPr>
        <w:tc>
          <w:tcPr>
            <w:tcW w:w="1837" w:type="dxa"/>
            <w:vMerge w:val="restart"/>
            <w:tcBorders>
              <w:top w:val="single" w:color="auto" w:sz="4" w:space="0"/>
              <w:left w:val="nil"/>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集中器、采集器、</w:t>
            </w:r>
          </w:p>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能源控制器（公变）</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条件1</w:t>
            </w:r>
          </w:p>
        </w:tc>
        <w:tc>
          <w:tcPr>
            <w:tcW w:w="120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68" w:type="dxa"/>
            <w:tcBorders>
              <w:top w:val="single" w:color="auto" w:sz="4" w:space="0"/>
              <w:left w:val="single" w:color="auto" w:sz="4" w:space="0"/>
              <w:bottom w:val="single" w:color="auto" w:sz="4" w:space="0"/>
              <w:right w:val="single" w:color="000000" w:sz="8"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集中器≥1000只</w:t>
            </w:r>
          </w:p>
        </w:tc>
        <w:tc>
          <w:tcPr>
            <w:tcW w:w="847" w:type="dxa"/>
            <w:vMerge w:val="restart"/>
            <w:tcBorders>
              <w:top w:val="single" w:color="auto" w:sz="4" w:space="0"/>
              <w:left w:val="nil"/>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w:t>
            </w:r>
          </w:p>
        </w:tc>
        <w:tc>
          <w:tcPr>
            <w:tcW w:w="836" w:type="dxa"/>
            <w:vMerge w:val="restart"/>
            <w:tcBorders>
              <w:top w:val="single" w:color="auto" w:sz="4" w:space="0"/>
              <w:left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所投产品的全性能试验报告</w:t>
            </w:r>
          </w:p>
        </w:tc>
        <w:tc>
          <w:tcPr>
            <w:tcW w:w="923" w:type="dxa"/>
            <w:vMerge w:val="restart"/>
            <w:tcBorders>
              <w:top w:val="single" w:color="auto" w:sz="4" w:space="0"/>
              <w:left w:val="single" w:color="auto" w:sz="4" w:space="0"/>
              <w:right w:val="nil"/>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满足条件1</w:t>
            </w:r>
            <w:r>
              <w:rPr>
                <w:rFonts w:ascii="Times New Roman" w:hAnsi="Times New Roman" w:cs="Times New Roman"/>
                <w:b/>
                <w:color w:val="000000" w:themeColor="text1"/>
                <w:sz w:val="15"/>
                <w:szCs w:val="15"/>
                <w:highlight w:val="none"/>
                <w14:textFill>
                  <w14:solidFill>
                    <w14:schemeClr w14:val="tx1"/>
                  </w14:solidFill>
                </w14:textFill>
              </w:rPr>
              <w:t>或</w:t>
            </w:r>
            <w:r>
              <w:rPr>
                <w:rFonts w:ascii="Times New Roman" w:hAnsi="Times New Roman" w:cs="Times New Roman"/>
                <w:color w:val="000000" w:themeColor="text1"/>
                <w:sz w:val="15"/>
                <w:szCs w:val="15"/>
                <w:highlight w:val="none"/>
                <w14:textFill>
                  <w14:solidFill>
                    <w14:schemeClr w14:val="tx1"/>
                  </w14:solidFill>
                </w14:textFill>
              </w:rPr>
              <w:t>条件2</w:t>
            </w:r>
          </w:p>
        </w:tc>
      </w:tr>
      <w:tr>
        <w:tblPrEx>
          <w:tblLayout w:type="fixed"/>
          <w:tblCellMar>
            <w:top w:w="0" w:type="dxa"/>
            <w:left w:w="108" w:type="dxa"/>
            <w:bottom w:w="0" w:type="dxa"/>
            <w:right w:w="108" w:type="dxa"/>
          </w:tblCellMar>
        </w:tblPrEx>
        <w:trPr>
          <w:trHeight w:val="417" w:hRule="atLeast"/>
          <w:jc w:val="center"/>
        </w:trPr>
        <w:tc>
          <w:tcPr>
            <w:tcW w:w="1837" w:type="dxa"/>
            <w:vMerge w:val="continue"/>
            <w:tcBorders>
              <w:left w:val="nil"/>
              <w:bottom w:val="sing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72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条件2</w:t>
            </w:r>
          </w:p>
        </w:tc>
        <w:tc>
          <w:tcPr>
            <w:tcW w:w="1204"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68" w:type="dxa"/>
            <w:tcBorders>
              <w:top w:val="single" w:color="auto" w:sz="4" w:space="0"/>
              <w:left w:val="single" w:color="auto" w:sz="4" w:space="0"/>
              <w:bottom w:val="single" w:color="auto" w:sz="4" w:space="0"/>
              <w:right w:val="single" w:color="000000" w:sz="8"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采集器≥3万只</w:t>
            </w:r>
          </w:p>
        </w:tc>
        <w:tc>
          <w:tcPr>
            <w:tcW w:w="847" w:type="dxa"/>
            <w:vMerge w:val="continue"/>
            <w:tcBorders>
              <w:left w:val="nil"/>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36" w:type="dxa"/>
            <w:vMerge w:val="continue"/>
            <w:tcBorders>
              <w:left w:val="single" w:color="auto" w:sz="4"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23" w:type="dxa"/>
            <w:vMerge w:val="continue"/>
            <w:tcBorders>
              <w:left w:val="single" w:color="auto" w:sz="4" w:space="0"/>
              <w:bottom w:val="single" w:color="auto" w:sz="4" w:space="0"/>
              <w:right w:val="nil"/>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625" w:hRule="atLeast"/>
          <w:jc w:val="center"/>
        </w:trPr>
        <w:tc>
          <w:tcPr>
            <w:tcW w:w="1837" w:type="dxa"/>
            <w:tcBorders>
              <w:top w:val="single" w:color="auto" w:sz="4" w:space="0"/>
              <w:left w:val="nil"/>
              <w:bottom w:val="double" w:color="auto" w:sz="4" w:space="0"/>
              <w:right w:val="single" w:color="auto" w:sz="4" w:space="0"/>
            </w:tcBorders>
            <w:vAlign w:val="center"/>
          </w:tcPr>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专变采集终端、</w:t>
            </w:r>
          </w:p>
          <w:p>
            <w:pPr>
              <w:widowControl/>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能源控制器（专变）</w:t>
            </w:r>
          </w:p>
        </w:tc>
        <w:tc>
          <w:tcPr>
            <w:tcW w:w="725" w:type="dxa"/>
            <w:tcBorders>
              <w:top w:val="single" w:color="auto" w:sz="4" w:space="0"/>
              <w:left w:val="single" w:color="auto" w:sz="4" w:space="0"/>
              <w:bottom w:val="doub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条件1</w:t>
            </w:r>
          </w:p>
        </w:tc>
        <w:tc>
          <w:tcPr>
            <w:tcW w:w="1204" w:type="dxa"/>
            <w:tcBorders>
              <w:top w:val="single" w:color="auto" w:sz="4" w:space="0"/>
              <w:left w:val="single" w:color="auto" w:sz="4" w:space="0"/>
              <w:bottom w:val="double" w:color="auto" w:sz="4" w:space="0"/>
              <w:right w:val="single" w:color="auto" w:sz="4"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2017-2019年</w:t>
            </w:r>
          </w:p>
        </w:tc>
        <w:tc>
          <w:tcPr>
            <w:tcW w:w="3368" w:type="dxa"/>
            <w:tcBorders>
              <w:top w:val="single" w:color="auto" w:sz="4" w:space="0"/>
              <w:left w:val="single" w:color="auto" w:sz="4" w:space="0"/>
              <w:bottom w:val="double" w:color="auto" w:sz="4" w:space="0"/>
              <w:right w:val="single" w:color="000000" w:sz="8" w:space="0"/>
            </w:tcBorders>
            <w:vAlign w:val="center"/>
          </w:tcPr>
          <w:p>
            <w:pPr>
              <w:snapToGrid w:val="0"/>
              <w:rPr>
                <w:rFonts w:ascii="Times New Roman" w:hAnsi="Times New Roman" w:cs="Times New Roman"/>
                <w:color w:val="000000" w:themeColor="text1"/>
                <w:sz w:val="15"/>
                <w:szCs w:val="15"/>
                <w:highlight w:val="none"/>
                <w14:textFill>
                  <w14:solidFill>
                    <w14:schemeClr w14:val="tx1"/>
                  </w14:solidFill>
                </w14:textFill>
              </w:rPr>
            </w:pPr>
            <w:r>
              <w:rPr>
                <w:rFonts w:ascii="Times New Roman" w:hAnsi="Times New Roman" w:cs="Times New Roman"/>
                <w:color w:val="000000" w:themeColor="text1"/>
                <w:sz w:val="15"/>
                <w:szCs w:val="15"/>
                <w:highlight w:val="none"/>
                <w14:textFill>
                  <w14:solidFill>
                    <w14:schemeClr w14:val="tx1"/>
                  </w14:solidFill>
                </w14:textFill>
              </w:rPr>
              <w:t>专变采集终端≥1万只</w:t>
            </w:r>
          </w:p>
        </w:tc>
        <w:tc>
          <w:tcPr>
            <w:tcW w:w="847" w:type="dxa"/>
            <w:vMerge w:val="continue"/>
            <w:tcBorders>
              <w:left w:val="nil"/>
              <w:bottom w:val="double" w:color="auto" w:sz="4" w:space="0"/>
              <w:right w:val="single" w:color="auto" w:sz="4" w:space="0"/>
            </w:tcBorders>
          </w:tcPr>
          <w:p>
            <w:pPr>
              <w:snapToGrid w:val="0"/>
              <w:rPr>
                <w:rFonts w:ascii="Times New Roman" w:hAnsi="Times New Roman" w:cs="Times New Roman"/>
                <w:color w:val="000000" w:themeColor="text1"/>
                <w:sz w:val="15"/>
                <w:szCs w:val="15"/>
                <w:highlight w:val="none"/>
                <w14:textFill>
                  <w14:solidFill>
                    <w14:schemeClr w14:val="tx1"/>
                  </w14:solidFill>
                </w14:textFill>
              </w:rPr>
            </w:pPr>
          </w:p>
        </w:tc>
        <w:tc>
          <w:tcPr>
            <w:tcW w:w="836" w:type="dxa"/>
            <w:vMerge w:val="continue"/>
            <w:tcBorders>
              <w:left w:val="single" w:color="auto" w:sz="4" w:space="0"/>
              <w:bottom w:val="double" w:color="auto" w:sz="4" w:space="0"/>
              <w:right w:val="single" w:color="auto" w:sz="4" w:space="0"/>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p>
        </w:tc>
        <w:tc>
          <w:tcPr>
            <w:tcW w:w="923" w:type="dxa"/>
            <w:tcBorders>
              <w:top w:val="single" w:color="auto" w:sz="4" w:space="0"/>
              <w:left w:val="single" w:color="auto" w:sz="4" w:space="0"/>
              <w:bottom w:val="double" w:color="auto" w:sz="4" w:space="0"/>
              <w:right w:val="nil"/>
            </w:tcBorders>
            <w:vAlign w:val="center"/>
          </w:tcPr>
          <w:p>
            <w:pPr>
              <w:snapToGrid w:val="0"/>
              <w:jc w:val="center"/>
              <w:rPr>
                <w:rFonts w:ascii="Times New Roman" w:hAnsi="Times New Roman" w:cs="Times New Roman"/>
                <w:color w:val="000000" w:themeColor="text1"/>
                <w:sz w:val="15"/>
                <w:szCs w:val="15"/>
                <w:highlight w:val="none"/>
                <w14:textFill>
                  <w14:solidFill>
                    <w14:schemeClr w14:val="tx1"/>
                  </w14:solidFill>
                </w14:textFill>
              </w:rPr>
            </w:pPr>
            <w:r>
              <w:rPr>
                <w:rFonts w:hint="eastAsia" w:ascii="Times New Roman" w:hAnsi="Times New Roman" w:cs="Times New Roman"/>
                <w:color w:val="000000" w:themeColor="text1"/>
                <w:sz w:val="15"/>
                <w:szCs w:val="15"/>
                <w:highlight w:val="none"/>
                <w14:textFill>
                  <w14:solidFill>
                    <w14:schemeClr w14:val="tx1"/>
                  </w14:solidFill>
                </w14:textFill>
              </w:rPr>
              <w:t>/</w:t>
            </w:r>
          </w:p>
        </w:tc>
      </w:tr>
    </w:tbl>
    <w:p>
      <w:pPr>
        <w:tabs>
          <w:tab w:val="left" w:pos="1190"/>
          <w:tab w:val="left" w:pos="3112"/>
          <w:tab w:val="left" w:pos="4600"/>
        </w:tabs>
        <w:ind w:firstLine="420"/>
        <w:jc w:val="both"/>
        <w:rPr>
          <w:rFonts w:ascii="Times New Roman" w:hAnsi="Times New Roman" w:cs="Times New Roman"/>
          <w:color w:val="000000" w:themeColor="text1"/>
          <w:sz w:val="21"/>
          <w:szCs w:val="21"/>
          <w:highlight w:val="none"/>
          <w14:textFill>
            <w14:solidFill>
              <w14:schemeClr w14:val="tx1"/>
            </w14:solidFill>
          </w14:textFill>
        </w:rPr>
      </w:pPr>
    </w:p>
    <w:p>
      <w:pPr>
        <w:widowControl/>
        <w:snapToGrid w:val="0"/>
        <w:rPr>
          <w:rFonts w:ascii="Times New Roman" w:hAnsi="Times New Roman" w:cs="Times New Roman"/>
          <w:bCs/>
          <w:color w:val="000000" w:themeColor="text1"/>
          <w:szCs w:val="21"/>
          <w:highlight w:val="none"/>
          <w:lang w:val="en-US"/>
          <w14:textFill>
            <w14:solidFill>
              <w14:schemeClr w14:val="tx1"/>
            </w14:solidFill>
          </w14:textFill>
        </w:rPr>
      </w:pPr>
      <w:r>
        <w:rPr>
          <w:rFonts w:hint="eastAsia" w:ascii="Times New Roman" w:hAnsi="Times New Roman" w:cs="Times New Roman"/>
          <w:bCs/>
          <w:color w:val="000000" w:themeColor="text1"/>
          <w:szCs w:val="21"/>
          <w:highlight w:val="none"/>
          <w:lang w:val="en-US"/>
          <w14:textFill>
            <w14:solidFill>
              <w14:schemeClr w14:val="tx1"/>
            </w14:solidFill>
          </w14:textFill>
        </w:rPr>
        <w:t>对于</w:t>
      </w:r>
      <w:r>
        <w:rPr>
          <w:rFonts w:hint="eastAsia" w:ascii="Times New Roman" w:hAnsi="Times New Roman" w:cs="Times New Roman"/>
          <w:b/>
          <w:bCs/>
          <w:color w:val="000000" w:themeColor="text1"/>
          <w:szCs w:val="21"/>
          <w:highlight w:val="none"/>
          <w:lang w:val="en-US"/>
          <w14:textFill>
            <w14:solidFill>
              <w14:schemeClr w14:val="tx1"/>
            </w14:solidFill>
          </w14:textFill>
        </w:rPr>
        <w:t>智能电能表、物联电能表</w:t>
      </w:r>
      <w:r>
        <w:rPr>
          <w:rFonts w:hint="eastAsia" w:ascii="Times New Roman" w:hAnsi="Times New Roman" w:cs="Times New Roman"/>
          <w:bCs/>
          <w:color w:val="000000" w:themeColor="text1"/>
          <w:szCs w:val="21"/>
          <w:highlight w:val="none"/>
          <w:lang w:val="en-US"/>
          <w14:textFill>
            <w14:solidFill>
              <w14:schemeClr w14:val="tx1"/>
            </w14:solidFill>
          </w14:textFill>
        </w:rPr>
        <w:t>，投标人须按照与其对应的</w:t>
      </w:r>
      <w:r>
        <w:rPr>
          <w:rFonts w:ascii="Times New Roman" w:hAnsi="Times New Roman" w:cs="Times New Roman"/>
          <w:bCs/>
          <w:color w:val="000000" w:themeColor="text1"/>
          <w:szCs w:val="21"/>
          <w:highlight w:val="none"/>
          <w:lang w:val="en-US"/>
          <w14:textFill>
            <w14:solidFill>
              <w14:schemeClr w14:val="tx1"/>
            </w14:solidFill>
          </w14:textFill>
        </w:rPr>
        <w:t>13</w:t>
      </w:r>
      <w:r>
        <w:rPr>
          <w:rFonts w:hint="eastAsia" w:ascii="Times New Roman" w:hAnsi="Times New Roman" w:cs="Times New Roman"/>
          <w:bCs/>
          <w:color w:val="000000" w:themeColor="text1"/>
          <w:szCs w:val="21"/>
          <w:highlight w:val="none"/>
          <w:lang w:val="en-US"/>
          <w14:textFill>
            <w14:solidFill>
              <w14:schemeClr w14:val="tx1"/>
            </w14:solidFill>
          </w14:textFill>
        </w:rPr>
        <w:t>版智能电能表表款，投标时提供</w:t>
      </w:r>
      <w:r>
        <w:rPr>
          <w:rFonts w:hint="eastAsia" w:ascii="Times New Roman" w:hAnsi="Times New Roman" w:cs="Times New Roman"/>
          <w:b/>
          <w:bCs/>
          <w:color w:val="000000" w:themeColor="text1"/>
          <w:szCs w:val="21"/>
          <w:highlight w:val="none"/>
          <w:lang w:val="en-US"/>
          <w14:textFill>
            <w14:solidFill>
              <w14:schemeClr w14:val="tx1"/>
            </w14:solidFill>
          </w14:textFill>
        </w:rPr>
        <w:t>对应</w:t>
      </w:r>
      <w:r>
        <w:rPr>
          <w:rFonts w:ascii="Times New Roman" w:hAnsi="Times New Roman" w:cs="Times New Roman"/>
          <w:b/>
          <w:bCs/>
          <w:color w:val="000000" w:themeColor="text1"/>
          <w:szCs w:val="21"/>
          <w:highlight w:val="none"/>
          <w:lang w:val="en-US"/>
          <w14:textFill>
            <w14:solidFill>
              <w14:schemeClr w14:val="tx1"/>
            </w14:solidFill>
          </w14:textFill>
        </w:rPr>
        <w:t>13</w:t>
      </w:r>
      <w:r>
        <w:rPr>
          <w:rFonts w:hint="eastAsia" w:ascii="Times New Roman" w:hAnsi="Times New Roman" w:cs="Times New Roman"/>
          <w:b/>
          <w:bCs/>
          <w:color w:val="000000" w:themeColor="text1"/>
          <w:szCs w:val="21"/>
          <w:highlight w:val="none"/>
          <w:lang w:val="en-US"/>
          <w14:textFill>
            <w14:solidFill>
              <w14:schemeClr w14:val="tx1"/>
            </w14:solidFill>
          </w14:textFill>
        </w:rPr>
        <w:t>版智能电能表的计量器具型式批准证书（</w:t>
      </w:r>
      <w:r>
        <w:rPr>
          <w:rFonts w:ascii="Times New Roman" w:hAnsi="Times New Roman" w:cs="Times New Roman"/>
          <w:b/>
          <w:bCs/>
          <w:color w:val="000000" w:themeColor="text1"/>
          <w:szCs w:val="21"/>
          <w:highlight w:val="none"/>
          <w:lang w:val="en-US"/>
          <w14:textFill>
            <w14:solidFill>
              <w14:schemeClr w14:val="tx1"/>
            </w14:solidFill>
          </w14:textFill>
        </w:rPr>
        <w:t>CPA</w:t>
      </w:r>
      <w:r>
        <w:rPr>
          <w:rFonts w:hint="eastAsia" w:ascii="Times New Roman" w:hAnsi="Times New Roman" w:cs="Times New Roman"/>
          <w:b/>
          <w:bCs/>
          <w:color w:val="000000" w:themeColor="text1"/>
          <w:szCs w:val="21"/>
          <w:highlight w:val="none"/>
          <w:lang w:val="en-US"/>
          <w14:textFill>
            <w14:solidFill>
              <w14:schemeClr w14:val="tx1"/>
            </w14:solidFill>
          </w14:textFill>
        </w:rPr>
        <w:t>）、</w:t>
      </w:r>
      <w:r>
        <w:rPr>
          <w:rFonts w:hint="default" w:ascii="Times New Roman" w:hAnsi="Times New Roman" w:cs="Times New Roman"/>
          <w:b/>
          <w:color w:val="000000" w:themeColor="text1"/>
          <w:szCs w:val="21"/>
          <w:highlight w:val="none"/>
          <w14:textFill>
            <w14:solidFill>
              <w14:schemeClr w14:val="tx1"/>
            </w14:solidFill>
          </w14:textFill>
        </w:rPr>
        <w:t>由国家级专业检验检测机构出具的符合</w:t>
      </w:r>
      <w:r>
        <w:rPr>
          <w:rFonts w:hint="default" w:ascii="Times New Roman" w:hAnsi="Times New Roman" w:cs="Times New Roman"/>
          <w:b/>
          <w:color w:val="000000" w:themeColor="text1"/>
          <w:szCs w:val="21"/>
          <w:highlight w:val="none"/>
          <w:lang w:val="en-US"/>
          <w14:textFill>
            <w14:solidFill>
              <w14:schemeClr w14:val="tx1"/>
            </w14:solidFill>
          </w14:textFill>
        </w:rPr>
        <w:t>招标通用</w:t>
      </w:r>
      <w:r>
        <w:rPr>
          <w:rFonts w:hint="default" w:ascii="Times New Roman" w:hAnsi="Times New Roman" w:cs="Times New Roman"/>
          <w:b/>
          <w:color w:val="000000" w:themeColor="text1"/>
          <w:szCs w:val="21"/>
          <w:highlight w:val="none"/>
          <w14:textFill>
            <w14:solidFill>
              <w14:schemeClr w14:val="tx1"/>
            </w14:solidFill>
          </w14:textFill>
        </w:rPr>
        <w:t>技术规范要求的</w:t>
      </w:r>
      <w:r>
        <w:rPr>
          <w:rFonts w:hint="eastAsia" w:ascii="Times New Roman" w:hAnsi="Times New Roman" w:cs="Times New Roman"/>
          <w:b/>
          <w:bCs/>
          <w:color w:val="000000" w:themeColor="text1"/>
          <w:szCs w:val="21"/>
          <w:highlight w:val="none"/>
          <w:lang w:val="en-US"/>
          <w14:textFill>
            <w14:solidFill>
              <w14:schemeClr w14:val="tx1"/>
            </w14:solidFill>
          </w14:textFill>
        </w:rPr>
        <w:t>全性能试验报告</w:t>
      </w:r>
      <w:r>
        <w:rPr>
          <w:rFonts w:hint="eastAsia" w:ascii="Times New Roman" w:hAnsi="Times New Roman" w:cs="Times New Roman"/>
          <w:bCs/>
          <w:color w:val="000000" w:themeColor="text1"/>
          <w:szCs w:val="21"/>
          <w:highlight w:val="none"/>
          <w:lang w:val="en-US"/>
          <w14:textFill>
            <w14:solidFill>
              <w14:schemeClr w14:val="tx1"/>
            </w14:solidFill>
          </w14:textFill>
        </w:rPr>
        <w:t>。承诺在供货时提供所投产品的计量器具型式批准证书（</w:t>
      </w:r>
      <w:r>
        <w:rPr>
          <w:rFonts w:ascii="Times New Roman" w:hAnsi="Times New Roman" w:cs="Times New Roman"/>
          <w:bCs/>
          <w:color w:val="000000" w:themeColor="text1"/>
          <w:szCs w:val="21"/>
          <w:highlight w:val="none"/>
          <w:lang w:val="en-US"/>
          <w14:textFill>
            <w14:solidFill>
              <w14:schemeClr w14:val="tx1"/>
            </w14:solidFill>
          </w14:textFill>
        </w:rPr>
        <w:t>CPA</w:t>
      </w:r>
      <w:r>
        <w:rPr>
          <w:rFonts w:hint="eastAsia" w:ascii="Times New Roman" w:hAnsi="Times New Roman" w:cs="Times New Roman"/>
          <w:bCs/>
          <w:color w:val="000000" w:themeColor="text1"/>
          <w:szCs w:val="21"/>
          <w:highlight w:val="none"/>
          <w:lang w:val="en-US"/>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由国家级专业检验检测机构出具的符合</w:t>
      </w:r>
      <w:r>
        <w:rPr>
          <w:rFonts w:hint="default" w:ascii="Times New Roman" w:hAnsi="Times New Roman" w:cs="Times New Roman"/>
          <w:color w:val="000000" w:themeColor="text1"/>
          <w:szCs w:val="21"/>
          <w:highlight w:val="none"/>
          <w:lang w:val="en-US"/>
          <w14:textFill>
            <w14:solidFill>
              <w14:schemeClr w14:val="tx1"/>
            </w14:solidFill>
          </w14:textFill>
        </w:rPr>
        <w:t>招标通用</w:t>
      </w:r>
      <w:r>
        <w:rPr>
          <w:rFonts w:hint="default" w:ascii="Times New Roman" w:hAnsi="Times New Roman" w:cs="Times New Roman"/>
          <w:color w:val="000000" w:themeColor="text1"/>
          <w:szCs w:val="21"/>
          <w:highlight w:val="none"/>
          <w14:textFill>
            <w14:solidFill>
              <w14:schemeClr w14:val="tx1"/>
            </w14:solidFill>
          </w14:textFill>
        </w:rPr>
        <w:t>技术规范要求的</w:t>
      </w:r>
      <w:r>
        <w:rPr>
          <w:rFonts w:hint="eastAsia" w:ascii="Times New Roman" w:hAnsi="Times New Roman" w:cs="Times New Roman"/>
          <w:bCs/>
          <w:color w:val="000000" w:themeColor="text1"/>
          <w:szCs w:val="21"/>
          <w:highlight w:val="none"/>
          <w:lang w:val="en-US"/>
          <w14:textFill>
            <w14:solidFill>
              <w14:schemeClr w14:val="tx1"/>
            </w14:solidFill>
          </w14:textFill>
        </w:rPr>
        <w:t>全性能试验报告、</w:t>
      </w:r>
      <w:r>
        <w:rPr>
          <w:rFonts w:ascii="Times New Roman" w:hAnsi="Times New Roman" w:cs="Times New Roman"/>
          <w:bCs/>
          <w:color w:val="000000" w:themeColor="text1"/>
          <w:szCs w:val="21"/>
          <w:highlight w:val="none"/>
          <w14:textFill>
            <w14:solidFill>
              <w14:schemeClr w14:val="tx1"/>
            </w14:solidFill>
          </w14:textFill>
        </w:rPr>
        <w:t>元器件应力法的可靠性预计报告</w:t>
      </w:r>
      <w:r>
        <w:rPr>
          <w:rFonts w:hint="eastAsia" w:ascii="Times New Roman" w:hAnsi="Times New Roman" w:cs="Times New Roman"/>
          <w:bCs/>
          <w:color w:val="000000" w:themeColor="text1"/>
          <w:szCs w:val="21"/>
          <w:highlight w:val="none"/>
          <w:lang w:val="en-US"/>
          <w14:textFill>
            <w14:solidFill>
              <w14:schemeClr w14:val="tx1"/>
            </w14:solidFill>
          </w14:textFill>
        </w:rPr>
        <w:t>。</w:t>
      </w:r>
    </w:p>
    <w:p>
      <w:pPr>
        <w:pStyle w:val="26"/>
        <w:jc w:val="both"/>
        <w:rPr>
          <w:rFonts w:ascii="Times New Roman" w:hAnsi="Times New Roman" w:cs="Times New Roman"/>
          <w:bCs/>
          <w:color w:val="000000" w:themeColor="text1"/>
          <w:szCs w:val="21"/>
          <w:highlight w:val="none"/>
          <w:lang w:val="en-US"/>
          <w14:textFill>
            <w14:solidFill>
              <w14:schemeClr w14:val="tx1"/>
            </w14:solidFill>
          </w14:textFill>
        </w:rPr>
      </w:pPr>
      <w:r>
        <w:rPr>
          <w:rFonts w:ascii="Times New Roman" w:hAnsi="Times New Roman" w:cs="Times New Roman"/>
          <w:bCs/>
          <w:color w:val="000000" w:themeColor="text1"/>
          <w:szCs w:val="21"/>
          <w:highlight w:val="none"/>
          <w:lang w:val="en-US"/>
          <w14:textFill>
            <w14:solidFill>
              <w14:schemeClr w14:val="tx1"/>
            </w14:solidFill>
          </w14:textFill>
        </w:rPr>
        <w:t>对于所投能源控制器（公变），投标人应在投标时提供集中器I型全性能检验报告，承诺在供货时提供</w:t>
      </w:r>
      <w:r>
        <w:rPr>
          <w:rFonts w:hint="eastAsia" w:ascii="Times New Roman" w:hAnsi="Times New Roman" w:cs="Times New Roman"/>
          <w:bCs/>
          <w:color w:val="000000" w:themeColor="text1"/>
          <w:szCs w:val="21"/>
          <w:highlight w:val="none"/>
          <w:lang w:val="en-US"/>
          <w14:textFill>
            <w14:solidFill>
              <w14:schemeClr w14:val="tx1"/>
            </w14:solidFill>
          </w14:textFill>
        </w:rPr>
        <w:t>所投产品</w:t>
      </w:r>
      <w:r>
        <w:rPr>
          <w:rFonts w:ascii="Times New Roman" w:hAnsi="Times New Roman" w:cs="Times New Roman"/>
          <w:bCs/>
          <w:color w:val="000000" w:themeColor="text1"/>
          <w:szCs w:val="21"/>
          <w:highlight w:val="none"/>
          <w:lang w:val="en-US"/>
          <w14:textFill>
            <w14:solidFill>
              <w14:schemeClr w14:val="tx1"/>
            </w14:solidFill>
          </w14:textFill>
        </w:rPr>
        <w:t>的全性能检验报告</w:t>
      </w:r>
      <w:r>
        <w:rPr>
          <w:rFonts w:hint="eastAsia" w:ascii="Times New Roman" w:hAnsi="Times New Roman" w:cs="Times New Roman"/>
          <w:bCs/>
          <w:color w:val="000000" w:themeColor="text1"/>
          <w:szCs w:val="21"/>
          <w:highlight w:val="none"/>
          <w:lang w:val="en-US"/>
          <w14:textFill>
            <w14:solidFill>
              <w14:schemeClr w14:val="tx1"/>
            </w14:solidFill>
          </w14:textFill>
        </w:rPr>
        <w:t>并提交承诺函</w:t>
      </w:r>
      <w:r>
        <w:rPr>
          <w:rFonts w:ascii="Times New Roman" w:hAnsi="Times New Roman" w:cs="Times New Roman"/>
          <w:bCs/>
          <w:color w:val="000000" w:themeColor="text1"/>
          <w:szCs w:val="21"/>
          <w:highlight w:val="none"/>
          <w:lang w:val="en-US"/>
          <w14:textFill>
            <w14:solidFill>
              <w14:schemeClr w14:val="tx1"/>
            </w14:solidFill>
          </w14:textFill>
        </w:rPr>
        <w:t>。</w:t>
      </w:r>
    </w:p>
    <w:p>
      <w:pPr>
        <w:pStyle w:val="26"/>
        <w:jc w:val="both"/>
        <w:rPr>
          <w:rFonts w:ascii="Times New Roman" w:hAnsi="Times New Roman" w:cs="Times New Roman"/>
          <w:bCs/>
          <w:color w:val="000000" w:themeColor="text1"/>
          <w:szCs w:val="21"/>
          <w:highlight w:val="none"/>
          <w:lang w:val="en-US"/>
          <w14:textFill>
            <w14:solidFill>
              <w14:schemeClr w14:val="tx1"/>
            </w14:solidFill>
          </w14:textFill>
        </w:rPr>
      </w:pPr>
      <w:r>
        <w:rPr>
          <w:rFonts w:ascii="Times New Roman" w:hAnsi="Times New Roman" w:cs="Times New Roman"/>
          <w:bCs/>
          <w:color w:val="000000" w:themeColor="text1"/>
          <w:szCs w:val="21"/>
          <w:highlight w:val="none"/>
          <w:lang w:val="en-US"/>
          <w14:textFill>
            <w14:solidFill>
              <w14:schemeClr w14:val="tx1"/>
            </w14:solidFill>
          </w14:textFill>
        </w:rPr>
        <w:t>对于所投能源控制器（专变），投标人应在投标时提供专变采集终端III型全性能检验报告，承诺在供货时提供</w:t>
      </w:r>
      <w:r>
        <w:rPr>
          <w:rFonts w:hint="eastAsia" w:ascii="Times New Roman" w:hAnsi="Times New Roman" w:cs="Times New Roman"/>
          <w:bCs/>
          <w:color w:val="000000" w:themeColor="text1"/>
          <w:szCs w:val="21"/>
          <w:highlight w:val="none"/>
          <w:lang w:val="en-US"/>
          <w14:textFill>
            <w14:solidFill>
              <w14:schemeClr w14:val="tx1"/>
            </w14:solidFill>
          </w14:textFill>
        </w:rPr>
        <w:t>所投产品的</w:t>
      </w:r>
      <w:r>
        <w:rPr>
          <w:rFonts w:ascii="Times New Roman" w:hAnsi="Times New Roman" w:cs="Times New Roman"/>
          <w:bCs/>
          <w:color w:val="000000" w:themeColor="text1"/>
          <w:szCs w:val="21"/>
          <w:highlight w:val="none"/>
          <w:lang w:val="en-US"/>
          <w14:textFill>
            <w14:solidFill>
              <w14:schemeClr w14:val="tx1"/>
            </w14:solidFill>
          </w14:textFill>
        </w:rPr>
        <w:t>全性能检验报告</w:t>
      </w:r>
      <w:r>
        <w:rPr>
          <w:rFonts w:hint="eastAsia" w:ascii="Times New Roman" w:hAnsi="Times New Roman" w:cs="Times New Roman"/>
          <w:bCs/>
          <w:color w:val="000000" w:themeColor="text1"/>
          <w:szCs w:val="21"/>
          <w:highlight w:val="none"/>
          <w:lang w:val="en-US"/>
          <w14:textFill>
            <w14:solidFill>
              <w14:schemeClr w14:val="tx1"/>
            </w14:solidFill>
          </w14:textFill>
        </w:rPr>
        <w:t>并提交承诺函</w:t>
      </w:r>
      <w:r>
        <w:rPr>
          <w:rFonts w:ascii="Times New Roman" w:hAnsi="Times New Roman" w:cs="Times New Roman"/>
          <w:bCs/>
          <w:color w:val="000000" w:themeColor="text1"/>
          <w:szCs w:val="21"/>
          <w:highlight w:val="none"/>
          <w:lang w:val="en-US"/>
          <w14:textFill>
            <w14:solidFill>
              <w14:schemeClr w14:val="tx1"/>
            </w14:solidFill>
          </w14:textFill>
        </w:rPr>
        <w:t>。</w:t>
      </w:r>
    </w:p>
    <w:p>
      <w:pPr>
        <w:widowControl/>
        <w:snapToGrid w:val="0"/>
        <w:rPr>
          <w:rFonts w:ascii="Times New Roman" w:hAnsi="Times New Roman" w:cs="Times New Roman"/>
          <w:bCs/>
          <w:color w:val="000000" w:themeColor="text1"/>
          <w:szCs w:val="21"/>
          <w:highlight w:val="none"/>
          <w:lang w:val="en-US"/>
          <w14:textFill>
            <w14:solidFill>
              <w14:schemeClr w14:val="tx1"/>
            </w14:solidFill>
          </w14:textFill>
        </w:rPr>
      </w:pPr>
      <w:r>
        <w:rPr>
          <w:rFonts w:hint="eastAsia" w:ascii="Times New Roman" w:hAnsi="Times New Roman" w:cs="Times New Roman"/>
          <w:bCs/>
          <w:color w:val="000000" w:themeColor="text1"/>
          <w:szCs w:val="21"/>
          <w:highlight w:val="none"/>
          <w:lang w:val="en-US"/>
          <w14:textFill>
            <w14:solidFill>
              <w14:schemeClr w14:val="tx1"/>
            </w14:solidFill>
          </w14:textFill>
        </w:rPr>
        <w:t>对于</w:t>
      </w:r>
      <w:r>
        <w:rPr>
          <w:rFonts w:hint="eastAsia" w:ascii="Times New Roman" w:hAnsi="Times New Roman" w:cs="Times New Roman"/>
          <w:b/>
          <w:bCs/>
          <w:color w:val="000000" w:themeColor="text1"/>
          <w:szCs w:val="21"/>
          <w:highlight w:val="none"/>
          <w:lang w:val="en-US"/>
          <w14:textFill>
            <w14:solidFill>
              <w14:schemeClr w14:val="tx1"/>
            </w14:solidFill>
          </w14:textFill>
        </w:rPr>
        <w:t>专变采集终端、能源控制器（专变）包</w:t>
      </w:r>
      <w:r>
        <w:rPr>
          <w:rFonts w:ascii="Times New Roman" w:hAnsi="Times New Roman" w:cs="Times New Roman"/>
          <w:b/>
          <w:bCs/>
          <w:color w:val="000000" w:themeColor="text1"/>
          <w:szCs w:val="21"/>
          <w:highlight w:val="none"/>
          <w:lang w:val="en-US"/>
          <w14:textFill>
            <w14:solidFill>
              <w14:schemeClr w14:val="tx1"/>
            </w14:solidFill>
          </w14:textFill>
        </w:rPr>
        <w:t>13</w:t>
      </w:r>
      <w:r>
        <w:rPr>
          <w:rFonts w:hint="eastAsia" w:ascii="Times New Roman" w:hAnsi="Times New Roman" w:cs="Times New Roman"/>
          <w:b/>
          <w:bCs/>
          <w:color w:val="000000" w:themeColor="text1"/>
          <w:szCs w:val="21"/>
          <w:highlight w:val="none"/>
          <w:lang w:val="en-US"/>
          <w14:textFill>
            <w14:solidFill>
              <w14:schemeClr w14:val="tx1"/>
            </w14:solidFill>
          </w14:textFill>
        </w:rPr>
        <w:t>的专变采集终端</w:t>
      </w:r>
      <w:r>
        <w:rPr>
          <w:rFonts w:ascii="Times New Roman" w:hAnsi="Times New Roman" w:cs="Times New Roman"/>
          <w:b/>
          <w:bCs/>
          <w:color w:val="000000" w:themeColor="text1"/>
          <w:szCs w:val="21"/>
          <w:highlight w:val="none"/>
          <w:lang w:val="en-US"/>
          <w14:textFill>
            <w14:solidFill>
              <w14:schemeClr w14:val="tx1"/>
            </w14:solidFill>
          </w14:textFill>
        </w:rPr>
        <w:t>I型</w:t>
      </w:r>
      <w:r>
        <w:rPr>
          <w:rFonts w:hint="eastAsia" w:ascii="Times New Roman" w:hAnsi="Times New Roman" w:cs="Times New Roman"/>
          <w:bCs/>
          <w:color w:val="000000" w:themeColor="text1"/>
          <w:szCs w:val="21"/>
          <w:highlight w:val="none"/>
          <w:lang w:val="en-US"/>
          <w14:textFill>
            <w14:solidFill>
              <w14:schemeClr w14:val="tx1"/>
            </w14:solidFill>
          </w14:textFill>
        </w:rPr>
        <w:t>，投标人投标时承诺在供货时提供所投产品的</w:t>
      </w:r>
      <w:r>
        <w:rPr>
          <w:rFonts w:hint="default" w:ascii="Times New Roman" w:hAnsi="Times New Roman" w:cs="Times New Roman"/>
          <w:color w:val="000000" w:themeColor="text1"/>
          <w:szCs w:val="21"/>
          <w:highlight w:val="none"/>
          <w14:textFill>
            <w14:solidFill>
              <w14:schemeClr w14:val="tx1"/>
            </w14:solidFill>
          </w14:textFill>
        </w:rPr>
        <w:t>由国家级专业检验检测机构出具的符合</w:t>
      </w:r>
      <w:r>
        <w:rPr>
          <w:rFonts w:hint="default" w:ascii="Times New Roman" w:hAnsi="Times New Roman" w:cs="Times New Roman"/>
          <w:color w:val="000000" w:themeColor="text1"/>
          <w:szCs w:val="21"/>
          <w:highlight w:val="none"/>
          <w:lang w:val="en-US"/>
          <w14:textFill>
            <w14:solidFill>
              <w14:schemeClr w14:val="tx1"/>
            </w14:solidFill>
          </w14:textFill>
        </w:rPr>
        <w:t>招标通用</w:t>
      </w:r>
      <w:r>
        <w:rPr>
          <w:rFonts w:hint="default" w:ascii="Times New Roman" w:hAnsi="Times New Roman" w:cs="Times New Roman"/>
          <w:color w:val="000000" w:themeColor="text1"/>
          <w:szCs w:val="21"/>
          <w:highlight w:val="none"/>
          <w14:textFill>
            <w14:solidFill>
              <w14:schemeClr w14:val="tx1"/>
            </w14:solidFill>
          </w14:textFill>
        </w:rPr>
        <w:t>技术规范要求的</w:t>
      </w:r>
      <w:r>
        <w:rPr>
          <w:rFonts w:hint="eastAsia" w:ascii="Times New Roman" w:hAnsi="Times New Roman" w:cs="Times New Roman"/>
          <w:bCs/>
          <w:color w:val="000000" w:themeColor="text1"/>
          <w:szCs w:val="21"/>
          <w:highlight w:val="none"/>
          <w:lang w:val="en-US"/>
          <w14:textFill>
            <w14:solidFill>
              <w14:schemeClr w14:val="tx1"/>
            </w14:solidFill>
          </w14:textFill>
        </w:rPr>
        <w:t>全性能试验报告并提交承诺函。</w:t>
      </w:r>
    </w:p>
    <w:p>
      <w:pPr>
        <w:pStyle w:val="2"/>
        <w:ind w:left="0" w:leftChars="0" w:firstLine="0"/>
        <w:rPr>
          <w:rFonts w:ascii="Times New Roman" w:hAnsi="Times New Roman" w:eastAsia="宋体" w:cs="Times New Roman"/>
          <w:bCs/>
          <w:color w:val="000000" w:themeColor="text1"/>
          <w:sz w:val="22"/>
          <w:szCs w:val="21"/>
          <w:highlight w:val="none"/>
          <w:lang w:val="en-US"/>
          <w14:textFill>
            <w14:solidFill>
              <w14:schemeClr w14:val="tx1"/>
            </w14:solidFill>
          </w14:textFill>
        </w:rPr>
      </w:pPr>
    </w:p>
    <w:p>
      <w:pPr>
        <w:widowControl/>
        <w:snapToGrid w:val="0"/>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智能电能表与</w:t>
      </w:r>
      <w:r>
        <w:rPr>
          <w:rFonts w:ascii="Times New Roman" w:hAnsi="Times New Roman" w:cs="Times New Roman"/>
          <w:b/>
          <w:bCs/>
          <w:color w:val="000000" w:themeColor="text1"/>
          <w:szCs w:val="21"/>
          <w:highlight w:val="none"/>
          <w:lang w:val="en-US"/>
          <w14:textFill>
            <w14:solidFill>
              <w14:schemeClr w14:val="tx1"/>
            </w14:solidFill>
          </w14:textFill>
        </w:rPr>
        <w:t>13</w:t>
      </w:r>
      <w:r>
        <w:rPr>
          <w:rFonts w:hint="eastAsia" w:ascii="Times New Roman" w:hAnsi="Times New Roman" w:cs="Times New Roman"/>
          <w:b/>
          <w:bCs/>
          <w:color w:val="000000" w:themeColor="text1"/>
          <w:szCs w:val="21"/>
          <w:highlight w:val="none"/>
          <w:lang w:val="en-US"/>
          <w14:textFill>
            <w14:solidFill>
              <w14:schemeClr w14:val="tx1"/>
            </w14:solidFill>
          </w14:textFill>
        </w:rPr>
        <w:t>版智能电能表的表款对应关系</w:t>
      </w:r>
    </w:p>
    <w:tbl>
      <w:tblPr>
        <w:tblStyle w:val="19"/>
        <w:tblW w:w="9770" w:type="dxa"/>
        <w:tblInd w:w="0" w:type="dxa"/>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86"/>
        <w:gridCol w:w="3846"/>
        <w:gridCol w:w="5238"/>
      </w:tblGrid>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序号</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智能电能表表款</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对应</w:t>
            </w:r>
            <w:r>
              <w:rPr>
                <w:rFonts w:ascii="Times New Roman" w:hAnsi="Times New Roman" w:cs="Times New Roman"/>
                <w:b/>
                <w:bCs/>
                <w:color w:val="000000" w:themeColor="text1"/>
                <w:szCs w:val="21"/>
                <w:highlight w:val="none"/>
                <w:lang w:val="en-US"/>
                <w14:textFill>
                  <w14:solidFill>
                    <w14:schemeClr w14:val="tx1"/>
                  </w14:solidFill>
                </w14:textFill>
              </w:rPr>
              <w:t>13</w:t>
            </w:r>
            <w:r>
              <w:rPr>
                <w:rFonts w:hint="eastAsia" w:ascii="Times New Roman" w:hAnsi="Times New Roman" w:cs="Times New Roman"/>
                <w:b/>
                <w:bCs/>
                <w:color w:val="000000" w:themeColor="text1"/>
                <w:szCs w:val="21"/>
                <w:highlight w:val="none"/>
                <w:lang w:val="en-US"/>
                <w14:textFill>
                  <w14:solidFill>
                    <w14:schemeClr w14:val="tx1"/>
                  </w14:solidFill>
                </w14:textFill>
              </w:rPr>
              <w:t>版智能电能表表款</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A</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电池可换</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A</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电池可换</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3</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A</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电池可换</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4</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A</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电池可换</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5</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B</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6</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B</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开关内置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7</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B</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8</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B</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9</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C</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0.5S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10</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C</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0.5S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级三相本地费控智能电能表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-CPU</w:t>
            </w:r>
            <w:r>
              <w:rPr>
                <w:rFonts w:hint="eastAsia" w:ascii="Times New Roman" w:hAnsi="Times New Roman" w:cs="Times New Roman"/>
                <w:bCs/>
                <w:color w:val="000000" w:themeColor="text1"/>
                <w:sz w:val="18"/>
                <w:szCs w:val="18"/>
                <w:highlight w:val="none"/>
                <w:lang w:val="en-US"/>
                <w14:textFill>
                  <w14:solidFill>
                    <w14:schemeClr w14:val="tx1"/>
                  </w14:solidFill>
                </w14:textFill>
              </w:rPr>
              <w:t>卡</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11</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C</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0.5S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8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12</w:t>
            </w:r>
          </w:p>
        </w:tc>
        <w:tc>
          <w:tcPr>
            <w:tcW w:w="3846"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D</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p>
        </w:tc>
        <w:tc>
          <w:tcPr>
            <w:tcW w:w="5238"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0.2S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bl>
    <w:p>
      <w:pPr>
        <w:widowControl/>
        <w:snapToGrid w:val="0"/>
        <w:rPr>
          <w:rFonts w:ascii="Times New Roman" w:hAnsi="Times New Roman" w:cs="Times New Roman"/>
          <w:b/>
          <w:bCs/>
          <w:color w:val="000000" w:themeColor="text1"/>
          <w:szCs w:val="21"/>
          <w:highlight w:val="none"/>
          <w:lang w:val="en-US"/>
          <w14:textFill>
            <w14:solidFill>
              <w14:schemeClr w14:val="tx1"/>
            </w14:solidFill>
          </w14:textFill>
        </w:rPr>
      </w:pPr>
    </w:p>
    <w:p>
      <w:pPr>
        <w:widowControl/>
        <w:snapToGrid w:val="0"/>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物联电能表与</w:t>
      </w:r>
      <w:r>
        <w:rPr>
          <w:rFonts w:ascii="Times New Roman" w:hAnsi="Times New Roman" w:cs="Times New Roman"/>
          <w:b/>
          <w:bCs/>
          <w:color w:val="000000" w:themeColor="text1"/>
          <w:szCs w:val="21"/>
          <w:highlight w:val="none"/>
          <w:lang w:val="en-US"/>
          <w14:textFill>
            <w14:solidFill>
              <w14:schemeClr w14:val="tx1"/>
            </w14:solidFill>
          </w14:textFill>
        </w:rPr>
        <w:t>13</w:t>
      </w:r>
      <w:r>
        <w:rPr>
          <w:rFonts w:hint="eastAsia" w:ascii="Times New Roman" w:hAnsi="Times New Roman" w:cs="Times New Roman"/>
          <w:b/>
          <w:bCs/>
          <w:color w:val="000000" w:themeColor="text1"/>
          <w:szCs w:val="21"/>
          <w:highlight w:val="none"/>
          <w:lang w:val="en-US"/>
          <w14:textFill>
            <w14:solidFill>
              <w14:schemeClr w14:val="tx1"/>
            </w14:solidFill>
          </w14:textFill>
        </w:rPr>
        <w:t>版智能电能表的表款对应关系</w:t>
      </w:r>
    </w:p>
    <w:tbl>
      <w:tblPr>
        <w:tblStyle w:val="19"/>
        <w:tblW w:w="9770" w:type="dxa"/>
        <w:tblInd w:w="0" w:type="dxa"/>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73"/>
        <w:gridCol w:w="3243"/>
        <w:gridCol w:w="612"/>
        <w:gridCol w:w="5242"/>
      </w:tblGrid>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7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序号</w:t>
            </w:r>
          </w:p>
        </w:tc>
        <w:tc>
          <w:tcPr>
            <w:tcW w:w="324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物联电能表表款</w:t>
            </w:r>
          </w:p>
        </w:tc>
        <w:tc>
          <w:tcPr>
            <w:tcW w:w="5854" w:type="dxa"/>
            <w:gridSpan w:val="2"/>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
                <w:bCs/>
                <w:color w:val="000000" w:themeColor="text1"/>
                <w:szCs w:val="21"/>
                <w:highlight w:val="none"/>
                <w:lang w:val="en-US"/>
                <w14:textFill>
                  <w14:solidFill>
                    <w14:schemeClr w14:val="tx1"/>
                  </w14:solidFill>
                </w14:textFill>
              </w:rPr>
            </w:pPr>
            <w:r>
              <w:rPr>
                <w:rFonts w:hint="eastAsia" w:ascii="Times New Roman" w:hAnsi="Times New Roman" w:cs="Times New Roman"/>
                <w:b/>
                <w:bCs/>
                <w:color w:val="000000" w:themeColor="text1"/>
                <w:szCs w:val="21"/>
                <w:highlight w:val="none"/>
                <w:lang w:val="en-US"/>
                <w14:textFill>
                  <w14:solidFill>
                    <w14:schemeClr w14:val="tx1"/>
                  </w14:solidFill>
                </w14:textFill>
              </w:rPr>
              <w:t>对应</w:t>
            </w:r>
            <w:r>
              <w:rPr>
                <w:rFonts w:ascii="Times New Roman" w:hAnsi="Times New Roman" w:cs="Times New Roman"/>
                <w:b/>
                <w:bCs/>
                <w:color w:val="000000" w:themeColor="text1"/>
                <w:szCs w:val="21"/>
                <w:highlight w:val="none"/>
                <w:lang w:val="en-US"/>
                <w14:textFill>
                  <w14:solidFill>
                    <w14:schemeClr w14:val="tx1"/>
                  </w14:solidFill>
                </w14:textFill>
              </w:rPr>
              <w:t>13</w:t>
            </w:r>
            <w:r>
              <w:rPr>
                <w:rFonts w:hint="eastAsia" w:ascii="Times New Roman" w:hAnsi="Times New Roman" w:cs="Times New Roman"/>
                <w:b/>
                <w:bCs/>
                <w:color w:val="000000" w:themeColor="text1"/>
                <w:szCs w:val="21"/>
                <w:highlight w:val="none"/>
                <w:lang w:val="en-US"/>
                <w14:textFill>
                  <w14:solidFill>
                    <w14:schemeClr w14:val="tx1"/>
                  </w14:solidFill>
                </w14:textFill>
              </w:rPr>
              <w:t>版电能表表款</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7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p>
        </w:tc>
        <w:tc>
          <w:tcPr>
            <w:tcW w:w="3855" w:type="dxa"/>
            <w:gridSpan w:val="2"/>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A</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级单相智能物联电能表</w:t>
            </w:r>
          </w:p>
        </w:tc>
        <w:tc>
          <w:tcPr>
            <w:tcW w:w="5242"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级单相费控智能电能表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电池可换</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7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2</w:t>
            </w:r>
          </w:p>
        </w:tc>
        <w:tc>
          <w:tcPr>
            <w:tcW w:w="3855" w:type="dxa"/>
            <w:gridSpan w:val="2"/>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B</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级三相智能物联电能表</w:t>
            </w:r>
          </w:p>
        </w:tc>
        <w:tc>
          <w:tcPr>
            <w:tcW w:w="5242"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1</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级三相费控智能电能表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模块</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远程</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开关外置</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7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3</w:t>
            </w:r>
          </w:p>
        </w:tc>
        <w:tc>
          <w:tcPr>
            <w:tcW w:w="3855" w:type="dxa"/>
            <w:gridSpan w:val="2"/>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C</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级三相智能物联电能表</w:t>
            </w:r>
          </w:p>
        </w:tc>
        <w:tc>
          <w:tcPr>
            <w:tcW w:w="5242"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0.5S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7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4</w:t>
            </w:r>
          </w:p>
        </w:tc>
        <w:tc>
          <w:tcPr>
            <w:tcW w:w="3855" w:type="dxa"/>
            <w:gridSpan w:val="2"/>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D</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级三相智能物联电能表</w:t>
            </w:r>
          </w:p>
        </w:tc>
        <w:tc>
          <w:tcPr>
            <w:tcW w:w="5242"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0.2S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r>
        <w:tblPrEx>
          <w:tblBorders>
            <w:top w:val="double" w:color="000000" w:sz="6" w:space="0"/>
            <w:left w:val="none" w:color="auto" w:sz="0" w:space="0"/>
            <w:bottom w:val="doub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c>
          <w:tcPr>
            <w:tcW w:w="673"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5</w:t>
            </w:r>
          </w:p>
        </w:tc>
        <w:tc>
          <w:tcPr>
            <w:tcW w:w="3855" w:type="dxa"/>
            <w:gridSpan w:val="2"/>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E</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级三相智能物联电能表</w:t>
            </w:r>
          </w:p>
        </w:tc>
        <w:tc>
          <w:tcPr>
            <w:tcW w:w="5242" w:type="dxa"/>
            <w:tcBorders>
              <w:tl2br w:val="nil"/>
              <w:tr2bl w:val="nil"/>
            </w:tcBorders>
            <w:shd w:val="clear" w:color="auto" w:fill="auto"/>
            <w:tcMar>
              <w:top w:w="15" w:type="dxa"/>
              <w:left w:w="15" w:type="dxa"/>
              <w:right w:w="15" w:type="dxa"/>
            </w:tcMar>
            <w:vAlign w:val="center"/>
          </w:tcPr>
          <w:p>
            <w:pPr>
              <w:widowControl/>
              <w:snapToGrid w:val="0"/>
              <w:jc w:val="center"/>
              <w:rPr>
                <w:rFonts w:ascii="Times New Roman" w:hAnsi="Times New Roman" w:cs="Times New Roman"/>
                <w:bCs/>
                <w:color w:val="000000" w:themeColor="text1"/>
                <w:sz w:val="18"/>
                <w:szCs w:val="18"/>
                <w:highlight w:val="none"/>
                <w:lang w:val="en-US"/>
                <w14:textFill>
                  <w14:solidFill>
                    <w14:schemeClr w14:val="tx1"/>
                  </w14:solidFill>
                </w14:textFill>
              </w:rPr>
            </w:pPr>
            <w:r>
              <w:rPr>
                <w:rFonts w:ascii="Times New Roman" w:hAnsi="Times New Roman" w:cs="Times New Roman"/>
                <w:bCs/>
                <w:color w:val="000000" w:themeColor="text1"/>
                <w:sz w:val="18"/>
                <w:szCs w:val="18"/>
                <w:highlight w:val="none"/>
                <w:lang w:val="en-US"/>
                <w14:textFill>
                  <w14:solidFill>
                    <w14:schemeClr w14:val="tx1"/>
                  </w14:solidFill>
                </w14:textFill>
              </w:rPr>
              <w:t>0.2S</w:t>
            </w:r>
            <w:r>
              <w:rPr>
                <w:rFonts w:hint="eastAsia" w:ascii="Times New Roman" w:hAnsi="Times New Roman" w:cs="Times New Roman"/>
                <w:bCs/>
                <w:color w:val="000000" w:themeColor="text1"/>
                <w:sz w:val="18"/>
                <w:szCs w:val="18"/>
                <w:highlight w:val="none"/>
                <w:lang w:val="en-US"/>
                <w14:textFill>
                  <w14:solidFill>
                    <w14:schemeClr w14:val="tx1"/>
                  </w14:solidFill>
                </w14:textFill>
              </w:rPr>
              <w:t>级三相智能电能表</w:t>
            </w:r>
            <w:r>
              <w:rPr>
                <w:rFonts w:ascii="Times New Roman" w:hAnsi="Times New Roman" w:cs="Times New Roman"/>
                <w:bCs/>
                <w:color w:val="000000" w:themeColor="text1"/>
                <w:sz w:val="18"/>
                <w:szCs w:val="18"/>
                <w:highlight w:val="none"/>
                <w:lang w:val="en-US"/>
                <w14:textFill>
                  <w14:solidFill>
                    <w14:schemeClr w14:val="tx1"/>
                  </w14:solidFill>
                </w14:textFill>
              </w:rPr>
              <w:t>(</w:t>
            </w:r>
            <w:r>
              <w:rPr>
                <w:rFonts w:hint="eastAsia" w:ascii="Times New Roman" w:hAnsi="Times New Roman" w:cs="Times New Roman"/>
                <w:bCs/>
                <w:color w:val="000000" w:themeColor="text1"/>
                <w:sz w:val="18"/>
                <w:szCs w:val="18"/>
                <w:highlight w:val="none"/>
                <w:lang w:val="en-US"/>
                <w14:textFill>
                  <w14:solidFill>
                    <w14:schemeClr w14:val="tx1"/>
                  </w14:solidFill>
                </w14:textFill>
              </w:rPr>
              <w:t>面向对象</w:t>
            </w:r>
            <w:r>
              <w:rPr>
                <w:rFonts w:ascii="Times New Roman" w:hAnsi="Times New Roman" w:cs="Times New Roman"/>
                <w:bCs/>
                <w:color w:val="000000" w:themeColor="text1"/>
                <w:sz w:val="18"/>
                <w:szCs w:val="18"/>
                <w:highlight w:val="none"/>
                <w:lang w:val="en-US"/>
                <w14:textFill>
                  <w14:solidFill>
                    <w14:schemeClr w14:val="tx1"/>
                  </w14:solidFill>
                </w14:textFill>
              </w:rPr>
              <w:t>)</w:t>
            </w:r>
          </w:p>
        </w:tc>
      </w:tr>
    </w:tbl>
    <w:p>
      <w:pPr>
        <w:tabs>
          <w:tab w:val="left" w:pos="1200"/>
          <w:tab w:val="left" w:pos="3112"/>
          <w:tab w:val="left" w:pos="4600"/>
        </w:tabs>
        <w:ind w:left="420"/>
        <w:jc w:val="both"/>
        <w:rPr>
          <w:rFonts w:ascii="Times New Roman" w:hAnsi="Times New Roman" w:cs="Times New Roman"/>
          <w:color w:val="000000" w:themeColor="text1"/>
          <w:spacing w:val="7"/>
          <w:sz w:val="21"/>
          <w:highlight w:val="none"/>
          <w14:textFill>
            <w14:solidFill>
              <w14:schemeClr w14:val="tx1"/>
            </w14:solidFill>
          </w14:textFill>
        </w:rPr>
      </w:pPr>
      <w:r>
        <w:rPr>
          <w:rFonts w:ascii="Times New Roman" w:hAnsi="Times New Roman" w:cs="Times New Roman"/>
          <w:color w:val="000000" w:themeColor="text1"/>
          <w:spacing w:val="7"/>
          <w:sz w:val="21"/>
          <w:highlight w:val="none"/>
          <w14:textFill>
            <w14:solidFill>
              <w14:schemeClr w14:val="tx1"/>
            </w14:solidFill>
          </w14:textFill>
        </w:rPr>
        <w:t xml:space="preserve">3.6 </w:t>
      </w:r>
      <w:r>
        <w:rPr>
          <w:rFonts w:hint="eastAsia" w:ascii="Times New Roman" w:hAnsi="Times New Roman" w:cs="Times New Roman"/>
          <w:color w:val="000000" w:themeColor="text1"/>
          <w:spacing w:val="7"/>
          <w:sz w:val="21"/>
          <w:highlight w:val="none"/>
          <w14:textFill>
            <w14:solidFill>
              <w14:schemeClr w14:val="tx1"/>
            </w14:solidFill>
          </w14:textFill>
        </w:rPr>
        <w:t>本次招标不接受代理投标。</w:t>
      </w:r>
    </w:p>
    <w:p>
      <w:pPr>
        <w:tabs>
          <w:tab w:val="left" w:pos="1200"/>
          <w:tab w:val="left" w:pos="3112"/>
          <w:tab w:val="left" w:pos="4600"/>
        </w:tabs>
        <w:ind w:left="420"/>
        <w:jc w:val="both"/>
        <w:rPr>
          <w:rFonts w:ascii="Times New Roman" w:hAnsi="Times New Roman" w:cs="Times New Roman"/>
          <w:color w:val="000000" w:themeColor="text1"/>
          <w:spacing w:val="7"/>
          <w:sz w:val="21"/>
          <w:highlight w:val="none"/>
          <w14:textFill>
            <w14:solidFill>
              <w14:schemeClr w14:val="tx1"/>
            </w14:solidFill>
          </w14:textFill>
        </w:rPr>
      </w:pPr>
      <w:r>
        <w:rPr>
          <w:rFonts w:ascii="Times New Roman" w:hAnsi="Times New Roman" w:cs="Times New Roman"/>
          <w:color w:val="000000" w:themeColor="text1"/>
          <w:spacing w:val="7"/>
          <w:sz w:val="21"/>
          <w:highlight w:val="none"/>
          <w14:textFill>
            <w14:solidFill>
              <w14:schemeClr w14:val="tx1"/>
            </w14:solidFill>
          </w14:textFill>
        </w:rPr>
        <w:t>3.7 各投标人均可就本次招标的部分或全部标包投标。</w:t>
      </w:r>
    </w:p>
    <w:p>
      <w:pPr>
        <w:tabs>
          <w:tab w:val="left" w:pos="1200"/>
          <w:tab w:val="left" w:pos="3112"/>
          <w:tab w:val="left" w:pos="4600"/>
        </w:tabs>
        <w:ind w:left="420"/>
        <w:jc w:val="both"/>
        <w:rPr>
          <w:rFonts w:ascii="Times New Roman" w:hAnsi="Times New Roman" w:cs="Times New Roman"/>
          <w:color w:val="000000" w:themeColor="text1"/>
          <w:spacing w:val="7"/>
          <w:sz w:val="21"/>
          <w:highlight w:val="none"/>
          <w14:textFill>
            <w14:solidFill>
              <w14:schemeClr w14:val="tx1"/>
            </w14:solidFill>
          </w14:textFill>
        </w:rPr>
      </w:pPr>
    </w:p>
    <w:p>
      <w:pPr>
        <w:pStyle w:val="5"/>
        <w:tabs>
          <w:tab w:val="left" w:pos="802"/>
        </w:tabs>
        <w:spacing w:before="92"/>
        <w:ind w:left="0" w:firstLine="0"/>
        <w:rPr>
          <w:rFonts w:ascii="Times New Roman" w:hAnsi="Times New Roman" w:eastAsia="黑体" w:cs="Times New Roman"/>
          <w:color w:val="000000" w:themeColor="text1"/>
          <w:highlight w:val="none"/>
          <w14:textFill>
            <w14:solidFill>
              <w14:schemeClr w14:val="tx1"/>
            </w14:solidFill>
          </w14:textFill>
        </w:rPr>
      </w:pPr>
      <w:bookmarkStart w:id="3" w:name="_bookmark5"/>
      <w:bookmarkEnd w:id="3"/>
      <w:r>
        <w:rPr>
          <w:rFonts w:hint="default" w:ascii="Times New Roman" w:hAnsi="Times New Roman" w:eastAsia="黑体" w:cs="Times New Roman"/>
          <w:color w:val="000000" w:themeColor="text1"/>
          <w:highlight w:val="none"/>
          <w14:textFill>
            <w14:solidFill>
              <w14:schemeClr w14:val="tx1"/>
            </w14:solidFill>
          </w14:textFill>
        </w:rPr>
        <w:t>4.</w:t>
      </w:r>
      <w:r>
        <w:rPr>
          <w:rFonts w:ascii="Times New Roman" w:hAnsi="Times New Roman" w:eastAsia="黑体" w:cs="Times New Roman"/>
          <w:color w:val="000000" w:themeColor="text1"/>
          <w:highlight w:val="none"/>
          <w14:textFill>
            <w14:solidFill>
              <w14:schemeClr w14:val="tx1"/>
            </w14:solidFill>
          </w14:textFill>
        </w:rPr>
        <w:t>招标文件的获取</w:t>
      </w:r>
    </w:p>
    <w:p>
      <w:pPr>
        <w:tabs>
          <w:tab w:val="left" w:pos="1200"/>
          <w:tab w:val="left" w:pos="3112"/>
          <w:tab w:val="left" w:pos="4600"/>
        </w:tabs>
        <w:ind w:firstLine="448" w:firstLineChars="200"/>
        <w:jc w:val="both"/>
        <w:rPr>
          <w:rFonts w:ascii="Times New Roman" w:hAnsi="Times New Roman" w:cs="Times New Roman"/>
          <w:color w:val="000000" w:themeColor="text1"/>
          <w:spacing w:val="7"/>
          <w:sz w:val="21"/>
          <w:highlight w:val="none"/>
          <w14:textFill>
            <w14:solidFill>
              <w14:schemeClr w14:val="tx1"/>
            </w14:solidFill>
          </w14:textFill>
        </w:rPr>
      </w:pPr>
      <w:r>
        <w:rPr>
          <w:rFonts w:ascii="Times New Roman" w:hAnsi="Times New Roman" w:cs="Times New Roman"/>
          <w:color w:val="000000" w:themeColor="text1"/>
          <w:spacing w:val="7"/>
          <w:sz w:val="21"/>
          <w:highlight w:val="none"/>
          <w14:textFill>
            <w14:solidFill>
              <w14:schemeClr w14:val="tx1"/>
            </w14:solidFill>
          </w14:textFill>
        </w:rPr>
        <w:t>4.1</w:t>
      </w:r>
      <w:r>
        <w:rPr>
          <w:rFonts w:hint="eastAsia" w:ascii="Times New Roman" w:hAnsi="Times New Roman" w:cs="Times New Roman"/>
          <w:color w:val="000000" w:themeColor="text1"/>
          <w:spacing w:val="7"/>
          <w:sz w:val="21"/>
          <w:highlight w:val="none"/>
          <w14:textFill>
            <w14:solidFill>
              <w14:schemeClr w14:val="tx1"/>
            </w14:solidFill>
          </w14:textFill>
        </w:rPr>
        <w:t>凡有意参加投标者，请于</w:t>
      </w:r>
      <w:r>
        <w:rPr>
          <w:rFonts w:ascii="Times New Roman" w:hAnsi="Times New Roman" w:cs="Times New Roman"/>
          <w:b/>
          <w:color w:val="000000" w:themeColor="text1"/>
          <w:spacing w:val="7"/>
          <w:sz w:val="21"/>
          <w:highlight w:val="none"/>
          <w14:textFill>
            <w14:solidFill>
              <w14:schemeClr w14:val="tx1"/>
            </w14:solidFill>
          </w14:textFill>
        </w:rPr>
        <w:t>2020年</w:t>
      </w:r>
      <w:r>
        <w:rPr>
          <w:rFonts w:hint="eastAsia" w:ascii="Times New Roman" w:hAnsi="Times New Roman" w:cs="Times New Roman"/>
          <w:b/>
          <w:color w:val="000000" w:themeColor="text1"/>
          <w:spacing w:val="7"/>
          <w:sz w:val="21"/>
          <w:highlight w:val="none"/>
          <w:lang w:val="en-US"/>
          <w14:textFill>
            <w14:solidFill>
              <w14:schemeClr w14:val="tx1"/>
            </w14:solidFill>
          </w14:textFill>
        </w:rPr>
        <w:t>9</w:t>
      </w:r>
      <w:r>
        <w:rPr>
          <w:rFonts w:ascii="Times New Roman" w:hAnsi="Times New Roman" w:cs="Times New Roman"/>
          <w:b/>
          <w:color w:val="000000" w:themeColor="text1"/>
          <w:spacing w:val="7"/>
          <w:sz w:val="21"/>
          <w:highlight w:val="none"/>
          <w14:textFill>
            <w14:solidFill>
              <w14:schemeClr w14:val="tx1"/>
            </w14:solidFill>
          </w14:textFill>
        </w:rPr>
        <w:t>月</w:t>
      </w:r>
      <w:r>
        <w:rPr>
          <w:rFonts w:hint="eastAsia" w:ascii="Times New Roman" w:hAnsi="Times New Roman" w:cs="Times New Roman"/>
          <w:b/>
          <w:color w:val="000000" w:themeColor="text1"/>
          <w:spacing w:val="7"/>
          <w:sz w:val="21"/>
          <w:highlight w:val="none"/>
          <w:lang w:val="en-US"/>
          <w14:textFill>
            <w14:solidFill>
              <w14:schemeClr w14:val="tx1"/>
            </w14:solidFill>
          </w14:textFill>
        </w:rPr>
        <w:t>21</w:t>
      </w:r>
      <w:r>
        <w:rPr>
          <w:rFonts w:ascii="Times New Roman" w:hAnsi="Times New Roman" w:cs="Times New Roman"/>
          <w:b/>
          <w:color w:val="000000" w:themeColor="text1"/>
          <w:spacing w:val="7"/>
          <w:sz w:val="21"/>
          <w:highlight w:val="none"/>
          <w14:textFill>
            <w14:solidFill>
              <w14:schemeClr w14:val="tx1"/>
            </w14:solidFill>
          </w14:textFill>
        </w:rPr>
        <w:t>日至2020年</w:t>
      </w:r>
      <w:r>
        <w:rPr>
          <w:rFonts w:hint="eastAsia" w:ascii="Times New Roman" w:hAnsi="Times New Roman" w:cs="Times New Roman"/>
          <w:b/>
          <w:color w:val="000000" w:themeColor="text1"/>
          <w:spacing w:val="7"/>
          <w:sz w:val="21"/>
          <w:highlight w:val="none"/>
          <w:lang w:val="en-US"/>
          <w14:textFill>
            <w14:solidFill>
              <w14:schemeClr w14:val="tx1"/>
            </w14:solidFill>
          </w14:textFill>
        </w:rPr>
        <w:t>10</w:t>
      </w:r>
      <w:r>
        <w:rPr>
          <w:rFonts w:ascii="Times New Roman" w:hAnsi="Times New Roman" w:cs="Times New Roman"/>
          <w:b/>
          <w:color w:val="000000" w:themeColor="text1"/>
          <w:spacing w:val="7"/>
          <w:sz w:val="21"/>
          <w:highlight w:val="none"/>
          <w14:textFill>
            <w14:solidFill>
              <w14:schemeClr w14:val="tx1"/>
            </w14:solidFill>
          </w14:textFill>
        </w:rPr>
        <w:t>月</w:t>
      </w:r>
      <w:r>
        <w:rPr>
          <w:rFonts w:hint="eastAsia" w:ascii="Times New Roman" w:hAnsi="Times New Roman" w:cs="Times New Roman"/>
          <w:b/>
          <w:color w:val="000000" w:themeColor="text1"/>
          <w:spacing w:val="7"/>
          <w:sz w:val="21"/>
          <w:highlight w:val="none"/>
          <w:lang w:val="en-US"/>
          <w14:textFill>
            <w14:solidFill>
              <w14:schemeClr w14:val="tx1"/>
            </w14:solidFill>
          </w14:textFill>
        </w:rPr>
        <w:t>9</w:t>
      </w:r>
      <w:r>
        <w:rPr>
          <w:rFonts w:ascii="Times New Roman" w:hAnsi="Times New Roman" w:cs="Times New Roman"/>
          <w:b/>
          <w:color w:val="000000" w:themeColor="text1"/>
          <w:spacing w:val="7"/>
          <w:sz w:val="21"/>
          <w:highlight w:val="none"/>
          <w14:textFill>
            <w14:solidFill>
              <w14:schemeClr w14:val="tx1"/>
            </w14:solidFill>
          </w14:textFill>
        </w:rPr>
        <w:t>日</w:t>
      </w:r>
      <w:r>
        <w:rPr>
          <w:rFonts w:ascii="Times New Roman" w:hAnsi="Times New Roman" w:cs="Times New Roman"/>
          <w:color w:val="000000" w:themeColor="text1"/>
          <w:spacing w:val="7"/>
          <w:sz w:val="21"/>
          <w:highlight w:val="none"/>
          <w14:textFill>
            <w14:solidFill>
              <w14:schemeClr w14:val="tx1"/>
            </w14:solidFill>
          </w14:textFill>
        </w:rPr>
        <w:t>（法定公休日、法定节假日除外），每日</w:t>
      </w:r>
      <w:r>
        <w:rPr>
          <w:rFonts w:ascii="Times New Roman" w:hAnsi="Times New Roman" w:cs="Times New Roman"/>
          <w:color w:val="000000" w:themeColor="text1"/>
          <w:highlight w:val="none"/>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:00</w:t>
      </w:r>
      <w:r>
        <w:rPr>
          <w:rFonts w:ascii="Times New Roman" w:hAnsi="Times New Roman" w:cs="Times New Roman"/>
          <w:color w:val="000000" w:themeColor="text1"/>
          <w:spacing w:val="7"/>
          <w:sz w:val="21"/>
          <w:highlight w:val="none"/>
          <w14:textFill>
            <w14:solidFill>
              <w14:schemeClr w14:val="tx1"/>
            </w14:solidFill>
          </w14:textFill>
        </w:rPr>
        <w:t>至</w:t>
      </w:r>
      <w:r>
        <w:rPr>
          <w:rFonts w:ascii="Times New Roman" w:hAnsi="Times New Roman" w:cs="Times New Roman"/>
          <w:color w:val="000000" w:themeColor="text1"/>
          <w:highlight w:val="none"/>
          <w14:textFill>
            <w14:solidFill>
              <w14:schemeClr w14:val="tx1"/>
            </w14:solidFill>
          </w14:textFill>
        </w:rPr>
        <w:t>17:00</w:t>
      </w:r>
      <w:r>
        <w:rPr>
          <w:rFonts w:ascii="Times New Roman" w:hAnsi="Times New Roman" w:cs="Times New Roman"/>
          <w:color w:val="000000" w:themeColor="text1"/>
          <w:spacing w:val="7"/>
          <w:sz w:val="21"/>
          <w:highlight w:val="none"/>
          <w14:textFill>
            <w14:solidFill>
              <w14:schemeClr w14:val="tx1"/>
            </w14:solidFill>
          </w14:textFill>
        </w:rPr>
        <w:t>时（北京时间，下同），</w:t>
      </w:r>
      <w:r>
        <w:rPr>
          <w:rFonts w:hint="eastAsia" w:ascii="Times New Roman" w:hAnsi="Times New Roman" w:cs="Times New Roman"/>
          <w:color w:val="000000" w:themeColor="text1"/>
          <w:spacing w:val="7"/>
          <w:sz w:val="21"/>
          <w:highlight w:val="none"/>
          <w14:textFill>
            <w14:solidFill>
              <w14:schemeClr w14:val="tx1"/>
            </w14:solidFill>
          </w14:textFill>
        </w:rPr>
        <w:t>登陆招标人招投标交易平台信息系统（新一代电子商务平台https://ecp.sgcc.com.cn/ecp2.0/portal/，下同）下载招标文件，并按《电子招标投标办法》等国家法律法规要求，到第三方认证机构办理CA证书电子钥匙。投标人应妥善保管招标人招投标交易平台信息系统账号和密码，以及CFCA数字证书和密码，因上述账号、数字证书或密码保管不当造成的损失，由投标人自行承担。</w:t>
      </w:r>
    </w:p>
    <w:p>
      <w:pPr>
        <w:spacing w:line="276" w:lineRule="auto"/>
        <w:ind w:firstLine="468" w:firstLineChars="200"/>
        <w:rPr>
          <w:rFonts w:ascii="Times New Roman" w:hAnsi="Times New Roman" w:cs="Times New Roman"/>
          <w:color w:val="000000" w:themeColor="text1"/>
          <w:spacing w:val="7"/>
          <w:szCs w:val="21"/>
          <w:highlight w:val="none"/>
          <w14:textFill>
            <w14:solidFill>
              <w14:schemeClr w14:val="tx1"/>
            </w14:solidFill>
          </w14:textFill>
        </w:rPr>
      </w:pPr>
      <w:r>
        <w:rPr>
          <w:rFonts w:ascii="Times New Roman" w:hAnsi="Times New Roman" w:cs="Times New Roman"/>
          <w:color w:val="000000" w:themeColor="text1"/>
          <w:spacing w:val="7"/>
          <w:szCs w:val="21"/>
          <w:highlight w:val="none"/>
          <w14:textFill>
            <w14:solidFill>
              <w14:schemeClr w14:val="tx1"/>
            </w14:solidFill>
          </w14:textFill>
        </w:rPr>
        <w:t>投标人获取招标文件流程：登录BOSP</w:t>
      </w:r>
      <w:r>
        <w:rPr>
          <w:rFonts w:hint="default" w:ascii="Times New Roman" w:hAnsi="Times New Roman" w:cs="Times New Roman"/>
          <w:color w:val="000000" w:themeColor="text1"/>
          <w:spacing w:val="7"/>
          <w:szCs w:val="21"/>
          <w:highlight w:val="none"/>
          <w14:textFill>
            <w14:solidFill>
              <w14:schemeClr w14:val="tx1"/>
            </w14:solidFill>
          </w14:textFill>
        </w:rPr>
        <w:t>2.0</w:t>
      </w:r>
      <w:r>
        <w:rPr>
          <w:rFonts w:ascii="Times New Roman" w:hAnsi="Times New Roman" w:cs="Times New Roman"/>
          <w:color w:val="000000" w:themeColor="text1"/>
          <w:spacing w:val="7"/>
          <w:szCs w:val="21"/>
          <w:highlight w:val="none"/>
          <w14:textFill>
            <w14:solidFill>
              <w14:schemeClr w14:val="tx1"/>
            </w14:solidFill>
          </w14:textFill>
        </w:rPr>
        <w:t>系统</w:t>
      </w:r>
      <w:r>
        <w:rPr>
          <w:rFonts w:ascii="Times New Roman" w:hAnsi="Times New Roman" w:cs="Times New Roman"/>
          <w:color w:val="000000" w:themeColor="text1"/>
          <w:highlight w:val="none"/>
          <w14:textFill>
            <w14:solidFill>
              <w14:schemeClr w14:val="tx1"/>
            </w14:solidFill>
          </w14:textFill>
        </w:rPr>
        <w:t>（https://bosp.sgm.sgcc.com.cn 国网物资业务运营服务平台）</w:t>
      </w:r>
      <w:r>
        <w:rPr>
          <w:rFonts w:ascii="Times New Roman" w:hAnsi="Times New Roman" w:cs="Times New Roman"/>
          <w:color w:val="000000" w:themeColor="text1"/>
          <w:spacing w:val="7"/>
          <w:szCs w:val="21"/>
          <w:highlight w:val="none"/>
          <w14:textFill>
            <w14:solidFill>
              <w14:schemeClr w14:val="tx1"/>
            </w14:solidFill>
          </w14:textFill>
        </w:rPr>
        <w:t>进行下单(选择项目-投标报名登记-录入投标人信息)，然后再登录招标人招投标交易平台信息系统下载招标文件。</w:t>
      </w:r>
    </w:p>
    <w:p>
      <w:pPr>
        <w:spacing w:line="276" w:lineRule="auto"/>
        <w:ind w:firstLine="470" w:firstLineChars="200"/>
        <w:rPr>
          <w:rFonts w:ascii="Times New Roman" w:hAnsi="Times New Roman" w:cs="Times New Roman"/>
          <w:color w:val="000000" w:themeColor="text1"/>
          <w:spacing w:val="7"/>
          <w:szCs w:val="21"/>
          <w:highlight w:val="none"/>
          <w14:textFill>
            <w14:solidFill>
              <w14:schemeClr w14:val="tx1"/>
            </w14:solidFill>
          </w14:textFill>
        </w:rPr>
      </w:pPr>
      <w:r>
        <w:rPr>
          <w:rFonts w:ascii="Times New Roman" w:hAnsi="Times New Roman" w:cs="Times New Roman"/>
          <w:b/>
          <w:color w:val="000000" w:themeColor="text1"/>
          <w:spacing w:val="7"/>
          <w:szCs w:val="21"/>
          <w:highlight w:val="none"/>
          <w14:textFill>
            <w14:solidFill>
              <w14:schemeClr w14:val="tx1"/>
            </w14:solidFill>
          </w14:textFill>
        </w:rPr>
        <w:t>BOSP</w:t>
      </w:r>
      <w:r>
        <w:rPr>
          <w:rFonts w:hint="default" w:ascii="Times New Roman" w:hAnsi="Times New Roman" w:cs="Times New Roman"/>
          <w:b/>
          <w:color w:val="000000" w:themeColor="text1"/>
          <w:spacing w:val="7"/>
          <w:szCs w:val="21"/>
          <w:highlight w:val="none"/>
          <w14:textFill>
            <w14:solidFill>
              <w14:schemeClr w14:val="tx1"/>
            </w14:solidFill>
          </w14:textFill>
        </w:rPr>
        <w:t>2.0</w:t>
      </w:r>
      <w:r>
        <w:rPr>
          <w:rFonts w:ascii="Times New Roman" w:hAnsi="Times New Roman" w:cs="Times New Roman"/>
          <w:b/>
          <w:color w:val="000000" w:themeColor="text1"/>
          <w:spacing w:val="7"/>
          <w:szCs w:val="21"/>
          <w:highlight w:val="none"/>
          <w14:textFill>
            <w14:solidFill>
              <w14:schemeClr w14:val="tx1"/>
            </w14:solidFill>
          </w14:textFill>
        </w:rPr>
        <w:t>系统</w:t>
      </w:r>
      <w:r>
        <w:rPr>
          <w:rFonts w:ascii="Times New Roman" w:hAnsi="Times New Roman" w:cs="Times New Roman"/>
          <w:color w:val="000000" w:themeColor="text1"/>
          <w:spacing w:val="7"/>
          <w:szCs w:val="2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https://bosp.sgm.sgcc.com.cn</w:t>
      </w:r>
      <w:r>
        <w:rPr>
          <w:rFonts w:ascii="Times New Roman" w:hAnsi="Times New Roman" w:cs="Times New Roman"/>
          <w:color w:val="000000" w:themeColor="text1"/>
          <w:spacing w:val="7"/>
          <w:szCs w:val="21"/>
          <w:highlight w:val="none"/>
          <w14:textFill>
            <w14:solidFill>
              <w14:schemeClr w14:val="tx1"/>
            </w14:solidFill>
          </w14:textFill>
        </w:rPr>
        <w:t>）所用</w:t>
      </w:r>
      <w:r>
        <w:rPr>
          <w:rFonts w:hint="default" w:ascii="Times New Roman" w:hAnsi="Times New Roman" w:cs="Times New Roman"/>
          <w:color w:val="000000" w:themeColor="text1"/>
          <w:spacing w:val="7"/>
          <w:szCs w:val="21"/>
          <w:highlight w:val="none"/>
          <w14:textFill>
            <w14:solidFill>
              <w14:schemeClr w14:val="tx1"/>
            </w14:solidFill>
          </w14:textFill>
        </w:rPr>
        <w:t>电子</w:t>
      </w:r>
      <w:r>
        <w:rPr>
          <w:rFonts w:ascii="Times New Roman" w:hAnsi="Times New Roman" w:cs="Times New Roman"/>
          <w:color w:val="000000" w:themeColor="text1"/>
          <w:spacing w:val="7"/>
          <w:szCs w:val="21"/>
          <w:highlight w:val="none"/>
          <w14:textFill>
            <w14:solidFill>
              <w14:schemeClr w14:val="tx1"/>
            </w14:solidFill>
          </w14:textFill>
        </w:rPr>
        <w:t>钥匙、用户名与招标人招投标交易平台信息系统</w:t>
      </w:r>
      <w:r>
        <w:rPr>
          <w:rFonts w:ascii="Times New Roman" w:hAnsi="Times New Roman" w:cs="Times New Roman"/>
          <w:color w:val="000000" w:themeColor="text1"/>
          <w:szCs w:val="21"/>
          <w:highlight w:val="none"/>
          <w14:textFill>
            <w14:solidFill>
              <w14:schemeClr w14:val="tx1"/>
            </w14:solidFill>
          </w14:textFill>
        </w:rPr>
        <w:t>（https://ecp.sgcc.com.cn/ecp2.0/portal）</w:t>
      </w:r>
      <w:r>
        <w:rPr>
          <w:rFonts w:ascii="Times New Roman" w:hAnsi="Times New Roman" w:cs="Times New Roman"/>
          <w:color w:val="000000" w:themeColor="text1"/>
          <w:spacing w:val="7"/>
          <w:szCs w:val="21"/>
          <w:highlight w:val="none"/>
          <w14:textFill>
            <w14:solidFill>
              <w14:schemeClr w14:val="tx1"/>
            </w14:solidFill>
          </w14:textFill>
        </w:rPr>
        <w:t>一致，如果是英文，字母需要大写。默认初始密码Sgm123456，可能与招标人招投标交易平台信息系统的登录密码不一致，请注意区分</w:t>
      </w:r>
      <w:r>
        <w:rPr>
          <w:rFonts w:hint="default" w:ascii="Times New Roman" w:hAnsi="Times New Roman" w:cs="Times New Roman"/>
          <w:color w:val="000000" w:themeColor="text1"/>
          <w:spacing w:val="7"/>
          <w:szCs w:val="21"/>
          <w:highlight w:val="none"/>
          <w14:textFill>
            <w14:solidFill>
              <w14:schemeClr w14:val="tx1"/>
            </w14:solidFill>
          </w14:textFill>
        </w:rPr>
        <w:t>,初次登陆后请修改初始密码</w:t>
      </w:r>
      <w:r>
        <w:rPr>
          <w:rFonts w:ascii="Times New Roman" w:hAnsi="Times New Roman" w:cs="Times New Roman"/>
          <w:color w:val="000000" w:themeColor="text1"/>
          <w:spacing w:val="7"/>
          <w:szCs w:val="21"/>
          <w:highlight w:val="none"/>
          <w14:textFill>
            <w14:solidFill>
              <w14:schemeClr w14:val="tx1"/>
            </w14:solidFill>
          </w14:textFill>
        </w:rPr>
        <w:t>。BOSP</w:t>
      </w:r>
      <w:r>
        <w:rPr>
          <w:rFonts w:hint="default" w:ascii="Times New Roman" w:hAnsi="Times New Roman" w:cs="Times New Roman"/>
          <w:color w:val="000000" w:themeColor="text1"/>
          <w:spacing w:val="7"/>
          <w:szCs w:val="21"/>
          <w:highlight w:val="none"/>
          <w14:textFill>
            <w14:solidFill>
              <w14:schemeClr w14:val="tx1"/>
            </w14:solidFill>
          </w14:textFill>
        </w:rPr>
        <w:t>2.0</w:t>
      </w:r>
      <w:r>
        <w:rPr>
          <w:rFonts w:ascii="Times New Roman" w:hAnsi="Times New Roman" w:cs="Times New Roman"/>
          <w:color w:val="000000" w:themeColor="text1"/>
          <w:spacing w:val="7"/>
          <w:szCs w:val="21"/>
          <w:highlight w:val="none"/>
          <w14:textFill>
            <w14:solidFill>
              <w14:schemeClr w14:val="tx1"/>
            </w14:solidFill>
          </w14:textFill>
        </w:rPr>
        <w:t>系统的操作手册请在BOSP</w:t>
      </w:r>
      <w:r>
        <w:rPr>
          <w:rFonts w:hint="default" w:ascii="Times New Roman" w:hAnsi="Times New Roman" w:cs="Times New Roman"/>
          <w:color w:val="000000" w:themeColor="text1"/>
          <w:spacing w:val="7"/>
          <w:szCs w:val="21"/>
          <w:highlight w:val="none"/>
          <w14:textFill>
            <w14:solidFill>
              <w14:schemeClr w14:val="tx1"/>
            </w14:solidFill>
          </w14:textFill>
        </w:rPr>
        <w:t>2.0</w:t>
      </w:r>
      <w:r>
        <w:rPr>
          <w:rFonts w:ascii="Times New Roman" w:hAnsi="Times New Roman" w:cs="Times New Roman"/>
          <w:color w:val="000000" w:themeColor="text1"/>
          <w:spacing w:val="7"/>
          <w:szCs w:val="21"/>
          <w:highlight w:val="none"/>
          <w14:textFill>
            <w14:solidFill>
              <w14:schemeClr w14:val="tx1"/>
            </w14:solidFill>
          </w14:textFill>
        </w:rPr>
        <w:t>系统首页下载。</w:t>
      </w:r>
    </w:p>
    <w:p>
      <w:pPr>
        <w:tabs>
          <w:tab w:val="left" w:pos="1200"/>
          <w:tab w:val="left" w:pos="3112"/>
          <w:tab w:val="left" w:pos="4600"/>
        </w:tabs>
        <w:ind w:firstLine="450"/>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pacing w:val="7"/>
          <w:szCs w:val="21"/>
          <w:highlight w:val="none"/>
          <w14:textFill>
            <w14:solidFill>
              <w14:schemeClr w14:val="tx1"/>
            </w14:solidFill>
          </w14:textFill>
        </w:rPr>
        <w:t>未按上述时间和方式获取并下载招标文件的，将无法进行后续的投标及报价。</w:t>
      </w:r>
    </w:p>
    <w:p>
      <w:pPr>
        <w:tabs>
          <w:tab w:val="left" w:pos="1200"/>
          <w:tab w:val="left" w:pos="3112"/>
          <w:tab w:val="left" w:pos="4600"/>
        </w:tabs>
        <w:ind w:firstLine="442"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4</w:t>
      </w:r>
      <w:r>
        <w:rPr>
          <w:rFonts w:ascii="Times New Roman" w:hAnsi="Times New Roman" w:cs="Times New Roman"/>
          <w:b/>
          <w:color w:val="000000" w:themeColor="text1"/>
          <w:highlight w:val="none"/>
          <w14:textFill>
            <w14:solidFill>
              <w14:schemeClr w14:val="tx1"/>
            </w14:solidFill>
          </w14:textFill>
        </w:rPr>
        <w:t xml:space="preserve">.2 </w:t>
      </w:r>
      <w:r>
        <w:rPr>
          <w:rFonts w:hint="default" w:ascii="Times New Roman" w:hAnsi="Times New Roman" w:cs="Times New Roman"/>
          <w:b/>
          <w:color w:val="000000" w:themeColor="text1"/>
          <w:highlight w:val="none"/>
          <w14:textFill>
            <w14:solidFill>
              <w14:schemeClr w14:val="tx1"/>
            </w14:solidFill>
          </w14:textFill>
        </w:rPr>
        <w:t>招标文件免费获取。</w:t>
      </w:r>
    </w:p>
    <w:p>
      <w:pPr>
        <w:tabs>
          <w:tab w:val="left" w:pos="1200"/>
          <w:tab w:val="left" w:pos="3112"/>
          <w:tab w:val="left" w:pos="4600"/>
        </w:tabs>
        <w:ind w:firstLine="448" w:firstLineChars="200"/>
        <w:jc w:val="both"/>
        <w:rPr>
          <w:rFonts w:ascii="Times New Roman" w:hAnsi="Times New Roman" w:cs="Times New Roman"/>
          <w:color w:val="000000" w:themeColor="text1"/>
          <w:spacing w:val="7"/>
          <w:sz w:val="21"/>
          <w:highlight w:val="none"/>
          <w14:textFill>
            <w14:solidFill>
              <w14:schemeClr w14:val="tx1"/>
            </w14:solidFill>
          </w14:textFill>
        </w:rPr>
      </w:pPr>
      <w:r>
        <w:rPr>
          <w:rFonts w:hint="eastAsia" w:ascii="Times New Roman" w:hAnsi="Times New Roman" w:cs="Times New Roman"/>
          <w:color w:val="000000" w:themeColor="text1"/>
          <w:spacing w:val="7"/>
          <w:sz w:val="21"/>
          <w:highlight w:val="none"/>
          <w14:textFill>
            <w14:solidFill>
              <w14:schemeClr w14:val="tx1"/>
            </w14:solidFill>
          </w14:textFill>
        </w:rPr>
        <w:t>4.3</w:t>
      </w:r>
      <w:r>
        <w:rPr>
          <w:rFonts w:ascii="Times New Roman" w:hAnsi="Times New Roman" w:cs="Times New Roman"/>
          <w:color w:val="000000" w:themeColor="text1"/>
          <w:spacing w:val="7"/>
          <w:sz w:val="21"/>
          <w:highlight w:val="non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离线投标工具下载方式：请各投标人在招标人招投标交易平台信息系统（新一代电子商务平台https://ecp.sgcc.com.cn/ecp2.0/portal/）首页“下载专区→参与投标→投标工具安装”目录下下载“.net安装工具包和供应商投标工具”。投标操作手册可在上述同一目录下下载“ECP2.0招标采购流程供应商操作手册”。离线投标工具操作问题联系招标人招投标交易平台信息系统运维支持电话：010-63411000。使用投标工具电脑配置要求：内存大于8GB，64位操作系统。</w:t>
      </w:r>
    </w:p>
    <w:p>
      <w:pPr>
        <w:tabs>
          <w:tab w:val="left" w:pos="1200"/>
          <w:tab w:val="left" w:pos="3112"/>
          <w:tab w:val="left" w:pos="4600"/>
        </w:tabs>
        <w:ind w:firstLine="448" w:firstLineChars="200"/>
        <w:jc w:val="both"/>
        <w:rPr>
          <w:rFonts w:ascii="Times New Roman" w:hAnsi="Times New Roman" w:cs="Times New Roman"/>
          <w:color w:val="000000" w:themeColor="text1"/>
          <w:spacing w:val="7"/>
          <w:sz w:val="21"/>
          <w:highlight w:val="none"/>
          <w14:textFill>
            <w14:solidFill>
              <w14:schemeClr w14:val="tx1"/>
            </w14:solidFill>
          </w14:textFill>
        </w:rPr>
      </w:pPr>
    </w:p>
    <w:p>
      <w:pPr>
        <w:pStyle w:val="5"/>
        <w:tabs>
          <w:tab w:val="left" w:pos="802"/>
        </w:tabs>
        <w:spacing w:before="92"/>
        <w:ind w:left="0" w:firstLine="0"/>
        <w:rPr>
          <w:rFonts w:ascii="Times New Roman" w:hAnsi="Times New Roman" w:eastAsia="黑体" w:cs="Times New Roman"/>
          <w:color w:val="000000" w:themeColor="text1"/>
          <w:highlight w:val="none"/>
          <w14:textFill>
            <w14:solidFill>
              <w14:schemeClr w14:val="tx1"/>
            </w14:solidFill>
          </w14:textFill>
        </w:rPr>
      </w:pPr>
      <w:bookmarkStart w:id="4" w:name="_bookmark6"/>
      <w:bookmarkEnd w:id="4"/>
      <w:r>
        <w:rPr>
          <w:rFonts w:hint="default" w:ascii="Times New Roman" w:hAnsi="Times New Roman" w:eastAsia="黑体" w:cs="Times New Roman"/>
          <w:color w:val="000000" w:themeColor="text1"/>
          <w:highlight w:val="none"/>
          <w14:textFill>
            <w14:solidFill>
              <w14:schemeClr w14:val="tx1"/>
            </w14:solidFill>
          </w14:textFill>
        </w:rPr>
        <w:t>5.</w:t>
      </w:r>
      <w:r>
        <w:rPr>
          <w:rFonts w:ascii="Times New Roman" w:hAnsi="Times New Roman" w:eastAsia="黑体" w:cs="Times New Roman"/>
          <w:color w:val="000000" w:themeColor="text1"/>
          <w:highlight w:val="none"/>
          <w14:textFill>
            <w14:solidFill>
              <w14:schemeClr w14:val="tx1"/>
            </w14:solidFill>
          </w14:textFill>
        </w:rPr>
        <w:t>投标文件的递交</w:t>
      </w:r>
    </w:p>
    <w:p>
      <w:pPr>
        <w:tabs>
          <w:tab w:val="left" w:pos="1200"/>
          <w:tab w:val="left" w:pos="3112"/>
          <w:tab w:val="left" w:pos="4600"/>
        </w:tabs>
        <w:ind w:firstLine="448" w:firstLineChars="200"/>
        <w:jc w:val="both"/>
        <w:rPr>
          <w:rFonts w:ascii="Times New Roman" w:hAnsi="Times New Roman" w:cs="Times New Roman"/>
          <w:color w:val="000000" w:themeColor="text1"/>
          <w:spacing w:val="7"/>
          <w:sz w:val="21"/>
          <w:highlight w:val="none"/>
          <w14:textFill>
            <w14:solidFill>
              <w14:schemeClr w14:val="tx1"/>
            </w14:solidFill>
          </w14:textFill>
        </w:rPr>
      </w:pPr>
      <w:r>
        <w:rPr>
          <w:rFonts w:ascii="Times New Roman" w:hAnsi="Times New Roman" w:cs="Times New Roman"/>
          <w:color w:val="000000" w:themeColor="text1"/>
          <w:spacing w:val="7"/>
          <w:sz w:val="21"/>
          <w:highlight w:val="none"/>
          <w14:textFill>
            <w14:solidFill>
              <w14:schemeClr w14:val="tx1"/>
            </w14:solidFill>
          </w14:textFill>
        </w:rPr>
        <w:t>5.1</w:t>
      </w:r>
      <w:r>
        <w:rPr>
          <w:rFonts w:ascii="Times New Roman" w:hAnsi="Times New Roman" w:cs="Times New Roman"/>
          <w:color w:val="000000" w:themeColor="text1"/>
          <w:szCs w:val="21"/>
          <w:highlight w:val="none"/>
          <w14:textFill>
            <w14:solidFill>
              <w14:schemeClr w14:val="tx1"/>
            </w14:solidFill>
          </w14:textFill>
        </w:rPr>
        <w:t>投标文件递交（提交）的截止时间（投标截止时间，下同）为</w:t>
      </w:r>
      <w:r>
        <w:rPr>
          <w:rFonts w:ascii="Times New Roman" w:hAnsi="Times New Roman" w:cs="Times New Roman"/>
          <w:b/>
          <w:color w:val="000000" w:themeColor="text1"/>
          <w:spacing w:val="7"/>
          <w:sz w:val="21"/>
          <w:highlight w:val="none"/>
          <w14:textFill>
            <w14:solidFill>
              <w14:schemeClr w14:val="tx1"/>
            </w14:solidFill>
          </w14:textFill>
        </w:rPr>
        <w:t>2020年</w:t>
      </w:r>
      <w:r>
        <w:rPr>
          <w:rFonts w:hint="eastAsia" w:ascii="Times New Roman" w:hAnsi="Times New Roman" w:cs="Times New Roman"/>
          <w:b/>
          <w:color w:val="000000" w:themeColor="text1"/>
          <w:spacing w:val="7"/>
          <w:sz w:val="21"/>
          <w:highlight w:val="none"/>
          <w:lang w:val="en-US"/>
          <w14:textFill>
            <w14:solidFill>
              <w14:schemeClr w14:val="tx1"/>
            </w14:solidFill>
          </w14:textFill>
        </w:rPr>
        <w:t>10</w:t>
      </w:r>
      <w:r>
        <w:rPr>
          <w:rFonts w:ascii="Times New Roman" w:hAnsi="Times New Roman" w:cs="Times New Roman"/>
          <w:b/>
          <w:color w:val="000000" w:themeColor="text1"/>
          <w:spacing w:val="7"/>
          <w:sz w:val="21"/>
          <w:highlight w:val="none"/>
          <w14:textFill>
            <w14:solidFill>
              <w14:schemeClr w14:val="tx1"/>
            </w14:solidFill>
          </w14:textFill>
        </w:rPr>
        <w:t>月1</w:t>
      </w:r>
      <w:r>
        <w:rPr>
          <w:rFonts w:hint="eastAsia" w:ascii="Times New Roman" w:hAnsi="Times New Roman" w:cs="Times New Roman"/>
          <w:b/>
          <w:color w:val="000000" w:themeColor="text1"/>
          <w:spacing w:val="7"/>
          <w:sz w:val="21"/>
          <w:highlight w:val="none"/>
          <w:lang w:val="en-US"/>
          <w14:textFill>
            <w14:solidFill>
              <w14:schemeClr w14:val="tx1"/>
            </w14:solidFill>
          </w14:textFill>
        </w:rPr>
        <w:t>2</w:t>
      </w:r>
      <w:r>
        <w:rPr>
          <w:rFonts w:ascii="Times New Roman" w:hAnsi="Times New Roman" w:cs="Times New Roman"/>
          <w:b/>
          <w:color w:val="000000" w:themeColor="text1"/>
          <w:spacing w:val="7"/>
          <w:sz w:val="21"/>
          <w:highlight w:val="none"/>
          <w14:textFill>
            <w14:solidFill>
              <w14:schemeClr w14:val="tx1"/>
            </w14:solidFill>
          </w14:textFill>
        </w:rPr>
        <w:t>日9</w:t>
      </w:r>
      <w:r>
        <w:rPr>
          <w:rFonts w:hint="eastAsia" w:ascii="Times New Roman" w:hAnsi="Times New Roman" w:cs="Times New Roman"/>
          <w:b/>
          <w:color w:val="000000" w:themeColor="text1"/>
          <w:spacing w:val="7"/>
          <w:sz w:val="21"/>
          <w:highlight w:val="none"/>
          <w14:textFill>
            <w14:solidFill>
              <w14:schemeClr w14:val="tx1"/>
            </w14:solidFill>
          </w14:textFill>
        </w:rPr>
        <w:t>:</w:t>
      </w:r>
      <w:r>
        <w:rPr>
          <w:rFonts w:ascii="Times New Roman" w:hAnsi="Times New Roman" w:cs="Times New Roman"/>
          <w:b/>
          <w:color w:val="000000" w:themeColor="text1"/>
          <w:spacing w:val="7"/>
          <w:sz w:val="21"/>
          <w:highlight w:val="none"/>
          <w14:textFill>
            <w14:solidFill>
              <w14:schemeClr w14:val="tx1"/>
            </w14:solidFill>
          </w14:textFill>
        </w:rPr>
        <w:t>30时</w:t>
      </w:r>
      <w:r>
        <w:rPr>
          <w:rFonts w:hint="default" w:ascii="Times New Roman" w:hAnsi="Times New Roman" w:cs="Times New Roman"/>
          <w:color w:val="000000" w:themeColor="text1"/>
          <w:szCs w:val="21"/>
          <w:highlight w:val="none"/>
          <w14:textFill>
            <w14:solidFill>
              <w14:schemeClr w14:val="tx1"/>
            </w14:solidFill>
          </w14:textFill>
        </w:rPr>
        <w:t>。</w:t>
      </w:r>
    </w:p>
    <w:p>
      <w:pPr>
        <w:adjustRightInd w:val="0"/>
        <w:snapToGrid w:val="0"/>
        <w:ind w:firstLine="440" w:firstLineChars="200"/>
        <w:jc w:val="both"/>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投标人应在截止时间前通过</w:t>
      </w:r>
      <w:r>
        <w:rPr>
          <w:rFonts w:ascii="Times New Roman" w:hAnsi="Times New Roman" w:cs="Times New Roman"/>
          <w:color w:val="000000" w:themeColor="text1"/>
          <w:highlight w:val="none"/>
          <w14:textFill>
            <w14:solidFill>
              <w14:schemeClr w14:val="tx1"/>
            </w14:solidFill>
          </w14:textFill>
        </w:rPr>
        <w:t>招标人招投标交易平台信息系统</w:t>
      </w:r>
      <w:r>
        <w:rPr>
          <w:rFonts w:ascii="Times New Roman" w:hAnsi="Times New Roman" w:cs="Times New Roman"/>
          <w:color w:val="000000" w:themeColor="text1"/>
          <w:szCs w:val="21"/>
          <w:highlight w:val="none"/>
          <w14:textFill>
            <w14:solidFill>
              <w14:schemeClr w14:val="tx1"/>
            </w14:solidFill>
          </w14:textFill>
        </w:rPr>
        <w:t>递交电子投标文件</w:t>
      </w:r>
      <w:r>
        <w:rPr>
          <w:rFonts w:hint="default" w:ascii="Times New Roman" w:hAnsi="Times New Roman" w:cs="Times New Roman"/>
          <w:color w:val="000000" w:themeColor="text1"/>
          <w:szCs w:val="21"/>
          <w:highlight w:val="none"/>
          <w14:textFill>
            <w14:solidFill>
              <w14:schemeClr w14:val="tx1"/>
            </w14:solidFill>
          </w14:textFill>
        </w:rPr>
        <w:t>，招标人不接受其他形式的投标文件</w:t>
      </w:r>
      <w:r>
        <w:rPr>
          <w:rFonts w:ascii="Times New Roman" w:hAnsi="Times New Roman" w:cs="Times New Roman"/>
          <w:color w:val="000000" w:themeColor="text1"/>
          <w:szCs w:val="21"/>
          <w:highlight w:val="none"/>
          <w14:textFill>
            <w14:solidFill>
              <w14:schemeClr w14:val="tx1"/>
            </w14:solidFill>
          </w14:textFill>
        </w:rPr>
        <w:t>。</w:t>
      </w:r>
    </w:p>
    <w:p>
      <w:pPr>
        <w:adjustRightInd w:val="0"/>
        <w:snapToGrid w:val="0"/>
        <w:ind w:firstLine="442"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投标文件递交（提交）时间：</w:t>
      </w:r>
      <w:r>
        <w:rPr>
          <w:rFonts w:ascii="Times New Roman" w:hAnsi="Times New Roman" w:cs="Times New Roman"/>
          <w:color w:val="000000" w:themeColor="text1"/>
          <w:highlight w:val="none"/>
          <w14:textFill>
            <w14:solidFill>
              <w14:schemeClr w14:val="tx1"/>
            </w14:solidFill>
          </w14:textFill>
        </w:rPr>
        <w:t>所有投标文件应当在投标截止时间前递交（提交）。</w:t>
      </w:r>
    </w:p>
    <w:p>
      <w:pPr>
        <w:adjustRightInd w:val="0"/>
        <w:snapToGrid w:val="0"/>
        <w:ind w:firstLine="442"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投标文件递交地点：</w:t>
      </w:r>
      <w:r>
        <w:rPr>
          <w:rFonts w:hint="default" w:ascii="Times New Roman" w:hAnsi="Times New Roman" w:cs="Times New Roman"/>
          <w:color w:val="000000" w:themeColor="text1"/>
          <w:highlight w:val="none"/>
          <w14:textFill>
            <w14:solidFill>
              <w14:schemeClr w14:val="tx1"/>
            </w14:solidFill>
          </w14:textFill>
        </w:rPr>
        <w:t>所有</w:t>
      </w:r>
      <w:r>
        <w:rPr>
          <w:rFonts w:ascii="Times New Roman" w:hAnsi="Times New Roman" w:cs="Times New Roman"/>
          <w:color w:val="000000" w:themeColor="text1"/>
          <w:highlight w:val="none"/>
          <w14:textFill>
            <w14:solidFill>
              <w14:schemeClr w14:val="tx1"/>
            </w14:solidFill>
          </w14:textFill>
        </w:rPr>
        <w:t>投标文件提交</w:t>
      </w:r>
      <w:r>
        <w:rPr>
          <w:rFonts w:hint="default" w:ascii="Times New Roman" w:hAnsi="Times New Roman" w:cs="Times New Roman"/>
          <w:color w:val="000000" w:themeColor="text1"/>
          <w:highlight w:val="none"/>
          <w14:textFill>
            <w14:solidFill>
              <w14:schemeClr w14:val="tx1"/>
            </w14:solidFill>
          </w14:textFill>
        </w:rPr>
        <w:t>至</w:t>
      </w:r>
      <w:r>
        <w:rPr>
          <w:rFonts w:ascii="Times New Roman" w:hAnsi="Times New Roman" w:cs="Times New Roman"/>
          <w:color w:val="000000" w:themeColor="text1"/>
          <w:highlight w:val="none"/>
          <w14:textFill>
            <w14:solidFill>
              <w14:schemeClr w14:val="tx1"/>
            </w14:solidFill>
          </w14:textFill>
        </w:rPr>
        <w:t>招标人招投标交易平台信息系统</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"https://ecp.sgcc.com.cn/ecp2.0/portal"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ascii="Times New Roman" w:hAnsi="Times New Roman" w:cs="Times New Roman"/>
          <w:color w:val="000000" w:themeColor="text1"/>
          <w:szCs w:val="21"/>
          <w:highlight w:val="none"/>
          <w14:textFill>
            <w14:solidFill>
              <w14:schemeClr w14:val="tx1"/>
            </w14:solidFill>
          </w14:textFill>
        </w:rPr>
        <w:t>https://ecp.sgcc.com.cn/ecp2.0/portal</w:t>
      </w:r>
      <w:r>
        <w:rPr>
          <w:rStyle w:val="17"/>
          <w:rFonts w:ascii="Times New Roman" w:hAnsi="Times New Roman" w:cs="Times New Roman"/>
          <w:color w:val="000000" w:themeColor="text1"/>
          <w:szCs w:val="21"/>
          <w:highlight w:val="none"/>
          <w14:textFill>
            <w14:solidFill>
              <w14:schemeClr w14:val="tx1"/>
            </w14:solidFill>
          </w14:textFill>
        </w:rPr>
        <w:fldChar w:fldCharType="end"/>
      </w:r>
      <w:r>
        <w:rPr>
          <w:rFonts w:hint="default"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 xml:space="preserve">。 </w:t>
      </w:r>
    </w:p>
    <w:p>
      <w:pPr>
        <w:tabs>
          <w:tab w:val="left" w:pos="1200"/>
          <w:tab w:val="left" w:pos="3112"/>
          <w:tab w:val="left" w:pos="4600"/>
        </w:tabs>
        <w:ind w:firstLine="420" w:firstLineChars="200"/>
        <w:jc w:val="both"/>
        <w:rPr>
          <w:rFonts w:ascii="Times New Roman" w:hAnsi="Times New Roman" w:cs="Times New Roman"/>
          <w:color w:val="000000" w:themeColor="text1"/>
          <w:spacing w:val="7"/>
          <w:sz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14:textFill>
            <w14:solidFill>
              <w14:schemeClr w14:val="tx1"/>
            </w14:solidFill>
          </w14:textFill>
        </w:rPr>
        <w:t>5.2</w:t>
      </w:r>
      <w:r>
        <w:rPr>
          <w:rFonts w:ascii="Times New Roman" w:hAnsi="Times New Roman" w:cs="Times New Roman"/>
          <w:color w:val="000000" w:themeColor="text1"/>
          <w:sz w:val="21"/>
          <w:szCs w:val="21"/>
          <w:highlight w:val="non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逾期送达的投标文件，</w:t>
      </w:r>
      <w:r>
        <w:rPr>
          <w:rFonts w:hint="default" w:ascii="Times New Roman" w:hAnsi="Times New Roman" w:cs="Times New Roman"/>
          <w:color w:val="000000" w:themeColor="text1"/>
          <w:szCs w:val="21"/>
          <w:highlight w:val="none"/>
          <w14:textFill>
            <w14:solidFill>
              <w14:schemeClr w14:val="tx1"/>
            </w14:solidFill>
          </w14:textFill>
        </w:rPr>
        <w:t>招投标交易平台信息系统</w:t>
      </w:r>
      <w:r>
        <w:rPr>
          <w:rFonts w:ascii="Times New Roman" w:hAnsi="Times New Roman" w:cs="Times New Roman"/>
          <w:color w:val="000000" w:themeColor="text1"/>
          <w:szCs w:val="21"/>
          <w:highlight w:val="none"/>
          <w14:textFill>
            <w14:solidFill>
              <w14:schemeClr w14:val="tx1"/>
            </w14:solidFill>
          </w14:textFill>
        </w:rPr>
        <w:t>将予以拒收。不接受邮寄方式提交投标文件及投标文件的修改文件；不接受未按规定加密的投标文件及投标文件的修改文件。</w:t>
      </w:r>
    </w:p>
    <w:p>
      <w:pPr>
        <w:tabs>
          <w:tab w:val="left" w:pos="1200"/>
          <w:tab w:val="left" w:pos="3112"/>
          <w:tab w:val="left" w:pos="4600"/>
        </w:tabs>
        <w:ind w:firstLine="448" w:firstLineChars="200"/>
        <w:rPr>
          <w:rFonts w:ascii="Times New Roman" w:hAnsi="Times New Roman" w:cs="Times New Roman"/>
          <w:color w:val="000000" w:themeColor="text1"/>
          <w:spacing w:val="7"/>
          <w:sz w:val="21"/>
          <w:highlight w:val="none"/>
          <w14:textFill>
            <w14:solidFill>
              <w14:schemeClr w14:val="tx1"/>
            </w14:solidFill>
          </w14:textFill>
        </w:rPr>
      </w:pPr>
    </w:p>
    <w:p>
      <w:pPr>
        <w:pStyle w:val="5"/>
        <w:tabs>
          <w:tab w:val="left" w:pos="802"/>
        </w:tabs>
        <w:ind w:left="0" w:firstLine="0"/>
        <w:rPr>
          <w:rFonts w:ascii="Times New Roman" w:hAnsi="Times New Roman" w:eastAsia="黑体" w:cs="Times New Roman"/>
          <w:color w:val="000000" w:themeColor="text1"/>
          <w:highlight w:val="none"/>
          <w14:textFill>
            <w14:solidFill>
              <w14:schemeClr w14:val="tx1"/>
            </w14:solidFill>
          </w14:textFill>
        </w:rPr>
      </w:pPr>
      <w:bookmarkStart w:id="5" w:name="_bookmark7"/>
      <w:bookmarkEnd w:id="5"/>
      <w:r>
        <w:rPr>
          <w:rFonts w:hint="default" w:ascii="Times New Roman" w:hAnsi="Times New Roman" w:eastAsia="黑体" w:cs="Times New Roman"/>
          <w:color w:val="000000" w:themeColor="text1"/>
          <w:highlight w:val="none"/>
          <w14:textFill>
            <w14:solidFill>
              <w14:schemeClr w14:val="tx1"/>
            </w14:solidFill>
          </w14:textFill>
        </w:rPr>
        <w:t>6.</w:t>
      </w:r>
      <w:r>
        <w:rPr>
          <w:rFonts w:ascii="Times New Roman" w:hAnsi="Times New Roman" w:eastAsia="黑体" w:cs="Times New Roman"/>
          <w:color w:val="000000" w:themeColor="text1"/>
          <w:highlight w:val="none"/>
          <w14:textFill>
            <w14:solidFill>
              <w14:schemeClr w14:val="tx1"/>
            </w14:solidFill>
          </w14:textFill>
        </w:rPr>
        <w:t>发布公告的媒介</w:t>
      </w:r>
    </w:p>
    <w:p>
      <w:pPr>
        <w:adjustRightInd w:val="0"/>
        <w:snapToGrid w:val="0"/>
        <w:ind w:firstLine="440" w:firstLineChars="200"/>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本次招标公告同时在中国招标投标公共服务平台（www.</w:t>
      </w:r>
      <w:r>
        <w:rPr>
          <w:rFonts w:ascii="Times New Roman" w:hAnsi="Times New Roman" w:cs="Times New Roman"/>
          <w:color w:val="000000" w:themeColor="text1"/>
          <w:highlight w:val="none"/>
          <w14:textFill>
            <w14:solidFill>
              <w14:schemeClr w14:val="tx1"/>
            </w14:solidFill>
          </w14:textFill>
        </w:rPr>
        <w:t>cebpubservice</w:t>
      </w:r>
      <w:r>
        <w:rPr>
          <w:rFonts w:hint="default" w:ascii="Times New Roman" w:hAnsi="Times New Roman" w:cs="Times New Roman"/>
          <w:color w:val="000000" w:themeColor="text1"/>
          <w:highlight w:val="none"/>
          <w14:textFill>
            <w14:solidFill>
              <w14:schemeClr w14:val="tx1"/>
            </w14:solidFill>
          </w14:textFill>
        </w:rPr>
        <w:t>.com）和招标人招投标交易平台信息系统上发布。</w:t>
      </w:r>
    </w:p>
    <w:p>
      <w:pPr>
        <w:pStyle w:val="10"/>
        <w:spacing w:before="120" w:beforeLines="50"/>
        <w:ind w:firstLine="420"/>
        <w:rPr>
          <w:rFonts w:ascii="Times New Roman" w:hAnsi="Times New Roman" w:cs="Times New Roman" w:eastAsiaTheme="minorEastAsia"/>
          <w:color w:val="000000" w:themeColor="text1"/>
          <w:highlight w:val="none"/>
          <w14:textFill>
            <w14:solidFill>
              <w14:schemeClr w14:val="tx1"/>
            </w14:solidFill>
          </w14:textFill>
        </w:rPr>
      </w:pPr>
    </w:p>
    <w:p>
      <w:pPr>
        <w:pStyle w:val="5"/>
        <w:tabs>
          <w:tab w:val="left" w:pos="802"/>
        </w:tabs>
        <w:ind w:left="0" w:firstLine="0"/>
        <w:rPr>
          <w:rFonts w:ascii="Times New Roman" w:hAnsi="Times New Roman" w:eastAsia="黑体" w:cs="Times New Roman"/>
          <w:color w:val="000000" w:themeColor="text1"/>
          <w:highlight w:val="none"/>
          <w14:textFill>
            <w14:solidFill>
              <w14:schemeClr w14:val="tx1"/>
            </w14:solidFill>
          </w14:textFill>
        </w:rPr>
      </w:pPr>
      <w:bookmarkStart w:id="6" w:name="_bookmark8"/>
      <w:bookmarkEnd w:id="6"/>
      <w:r>
        <w:rPr>
          <w:rFonts w:hint="default" w:ascii="Times New Roman" w:hAnsi="Times New Roman" w:eastAsia="黑体" w:cs="Times New Roman"/>
          <w:color w:val="000000" w:themeColor="text1"/>
          <w:highlight w:val="none"/>
          <w14:textFill>
            <w14:solidFill>
              <w14:schemeClr w14:val="tx1"/>
            </w14:solidFill>
          </w14:textFill>
        </w:rPr>
        <w:t>7.</w:t>
      </w:r>
      <w:r>
        <w:rPr>
          <w:rFonts w:ascii="Times New Roman" w:hAnsi="Times New Roman" w:eastAsia="黑体" w:cs="Times New Roman"/>
          <w:color w:val="000000" w:themeColor="text1"/>
          <w:highlight w:val="none"/>
          <w14:textFill>
            <w14:solidFill>
              <w14:schemeClr w14:val="tx1"/>
            </w14:solidFill>
          </w14:textFill>
        </w:rPr>
        <w:t>联系方式</w:t>
      </w:r>
    </w:p>
    <w:p>
      <w:pPr>
        <w:adjustRightInd w:val="0"/>
        <w:snapToGrid w:val="0"/>
        <w:spacing w:before="120" w:beforeLines="5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招标代理机构：国网物资有限公司</w:t>
      </w: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地址：北京市西城区六铺炕街5号</w:t>
      </w: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邮编：100120</w:t>
      </w: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w:t>
      </w:r>
    </w:p>
    <w:p>
      <w:pPr>
        <w:pStyle w:val="25"/>
        <w:numPr>
          <w:ilvl w:val="0"/>
          <w:numId w:val="1"/>
        </w:numPr>
        <w:autoSpaceDE/>
        <w:autoSpaceDN/>
        <w:adjustRightInd w:val="0"/>
        <w:snapToGrid w:val="0"/>
        <w:ind w:left="0" w:firstLine="44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招投标交易平台信息系统（相关操作问题咨询）：010-63411000</w:t>
      </w:r>
    </w:p>
    <w:p>
      <w:pPr>
        <w:pStyle w:val="25"/>
        <w:numPr>
          <w:ilvl w:val="0"/>
          <w:numId w:val="1"/>
        </w:numPr>
        <w:autoSpaceDE/>
        <w:autoSpaceDN/>
        <w:adjustRightInd w:val="0"/>
        <w:snapToGrid w:val="0"/>
        <w:ind w:left="0" w:firstLine="44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BOSP（相关操作问题咨询）：400-818-0899转1-7</w:t>
      </w:r>
    </w:p>
    <w:p>
      <w:pPr>
        <w:pStyle w:val="25"/>
        <w:numPr>
          <w:ilvl w:val="0"/>
          <w:numId w:val="1"/>
        </w:numPr>
        <w:autoSpaceDE/>
        <w:autoSpaceDN/>
        <w:adjustRightInd w:val="0"/>
        <w:snapToGrid w:val="0"/>
        <w:ind w:left="0" w:firstLine="44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财务事宜：400-818-0899转1-4</w:t>
      </w:r>
      <w:r>
        <w:rPr>
          <w:rFonts w:ascii="Times New Roman" w:hAnsi="Times New Roman" w:cs="Times New Roman"/>
          <w:color w:val="000000" w:themeColor="text1"/>
          <w:highlight w:val="none"/>
          <w14:textFill>
            <w14:solidFill>
              <w14:schemeClr w14:val="tx1"/>
            </w14:solidFill>
          </w14:textFill>
        </w:rPr>
        <w:t>-1</w:t>
      </w:r>
    </w:p>
    <w:p>
      <w:pPr>
        <w:pStyle w:val="25"/>
        <w:numPr>
          <w:ilvl w:val="0"/>
          <w:numId w:val="1"/>
        </w:numPr>
        <w:autoSpaceDE/>
        <w:autoSpaceDN/>
        <w:adjustRightInd w:val="0"/>
        <w:snapToGrid w:val="0"/>
        <w:ind w:left="0" w:firstLine="44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招标业务咨询：400-818-0899转1-3-1，并输入招标项目编号</w:t>
      </w:r>
      <w:r>
        <w:rPr>
          <w:rFonts w:hint="default" w:ascii="Times New Roman" w:hAnsi="Times New Roman" w:cs="Times New Roman"/>
          <w:color w:val="000000" w:themeColor="text1"/>
          <w:highlight w:val="none"/>
          <w:lang w:val="en-US"/>
          <w14:textFill>
            <w14:solidFill>
              <w14:schemeClr w14:val="tx1"/>
            </w14:solidFill>
          </w14:textFill>
        </w:rPr>
        <w:t>OT</w:t>
      </w:r>
      <w:r>
        <w:rPr>
          <w:rFonts w:ascii="Times New Roman" w:hAnsi="Times New Roman" w:cs="Times New Roman"/>
          <w:color w:val="000000" w:themeColor="text1"/>
          <w:highlight w:val="none"/>
          <w:lang w:val="en-US"/>
          <w14:textFill>
            <w14:solidFill>
              <w14:schemeClr w14:val="tx1"/>
            </w14:solidFill>
          </w14:textFill>
        </w:rPr>
        <w:t>L</w:t>
      </w:r>
      <w:r>
        <w:rPr>
          <w:rFonts w:hint="default" w:ascii="Times New Roman" w:hAnsi="Times New Roman" w:cs="Times New Roman"/>
          <w:color w:val="000000" w:themeColor="text1"/>
          <w:highlight w:val="none"/>
          <w14:textFill>
            <w14:solidFill>
              <w14:schemeClr w14:val="tx1"/>
            </w14:solidFill>
          </w14:textFill>
        </w:rPr>
        <w:t>后8位数字</w:t>
      </w: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电子邮件：</w:t>
      </w:r>
      <w:r>
        <w:rPr>
          <w:rFonts w:ascii="Times New Roman" w:hAnsi="Times New Roman" w:cs="Times New Roman"/>
          <w:color w:val="000000" w:themeColor="text1"/>
          <w:highlight w:val="none"/>
          <w14:textFill>
            <w14:solidFill>
              <w14:schemeClr w14:val="tx1"/>
            </w14:solidFill>
          </w14:textFill>
        </w:rPr>
        <w:t>gysfwzx-dnb@sgm.sgcc.com.cn</w:t>
      </w: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ECP2.0</w:t>
      </w:r>
      <w:r>
        <w:rPr>
          <w:rFonts w:ascii="Times New Roman" w:hAnsi="Times New Roman" w:cs="Times New Roman"/>
          <w:color w:val="000000" w:themeColor="text1"/>
          <w:highlight w:val="none"/>
          <w14:textFill>
            <w14:solidFill>
              <w14:schemeClr w14:val="tx1"/>
            </w14:solidFill>
          </w14:textFill>
        </w:rPr>
        <w:t>网址：https://ecp.sgcc.com.cn/ecp2.0/portal（招投标交易平台信息系统</w:t>
      </w:r>
      <w:r>
        <w:rPr>
          <w:rFonts w:hint="default"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谷歌浏览器）</w:t>
      </w:r>
    </w:p>
    <w:p>
      <w:pPr>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BOSP2.0网址：https://bosp.sgm.sgcc.com.cn</w:t>
      </w:r>
      <w:r>
        <w:rPr>
          <w:rFonts w:ascii="Times New Roman" w:hAnsi="Times New Roman" w:cs="Times New Roman"/>
          <w:color w:val="000000" w:themeColor="text1"/>
          <w:highlight w:val="none"/>
          <w14:textFill>
            <w14:solidFill>
              <w14:schemeClr w14:val="tx1"/>
            </w14:solidFill>
          </w14:textFill>
        </w:rPr>
        <w:t>（国网物资业务运营服务平台</w:t>
      </w:r>
      <w:r>
        <w:rPr>
          <w:rFonts w:hint="default"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谷歌浏览器）</w:t>
      </w:r>
    </w:p>
    <w:p>
      <w:pPr>
        <w:tabs>
          <w:tab w:val="left" w:pos="6207"/>
        </w:tabs>
        <w:adjustRightInd w:val="0"/>
        <w:snapToGrid w:val="0"/>
        <w:ind w:firstLine="741" w:firstLineChars="337"/>
        <w:rPr>
          <w:rFonts w:ascii="Times New Roman" w:hAnsi="Times New Roman" w:cs="Times New Roman"/>
          <w:color w:val="000000" w:themeColor="text1"/>
          <w:highlight w:val="none"/>
          <w14:textFill>
            <w14:solidFill>
              <w14:schemeClr w14:val="tx1"/>
            </w14:solidFill>
          </w14:textFill>
        </w:rPr>
      </w:pPr>
    </w:p>
    <w:p>
      <w:pPr>
        <w:pStyle w:val="10"/>
        <w:tabs>
          <w:tab w:val="left" w:pos="4528"/>
          <w:tab w:val="left" w:pos="8290"/>
        </w:tabs>
        <w:ind w:firstLine="42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招标人</w:t>
      </w:r>
      <w:r>
        <w:rPr>
          <w:rFonts w:ascii="Times New Roman" w:hAnsi="Times New Roman" w:cs="Times New Roman"/>
          <w:color w:val="000000" w:themeColor="text1"/>
          <w:highlight w:val="none"/>
          <w14:textFill>
            <w14:solidFill>
              <w14:schemeClr w14:val="tx1"/>
            </w14:solidFill>
          </w14:textFill>
        </w:rPr>
        <w:t>：国家电网有限公司</w:t>
      </w:r>
    </w:p>
    <w:p>
      <w:pPr>
        <w:pStyle w:val="10"/>
        <w:tabs>
          <w:tab w:val="left" w:pos="4528"/>
          <w:tab w:val="left" w:pos="8290"/>
        </w:tabs>
        <w:ind w:firstLine="42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地址：</w:t>
      </w:r>
      <w:r>
        <w:rPr>
          <w:rFonts w:ascii="Times New Roman" w:hAnsi="Times New Roman" w:cs="Times New Roman"/>
          <w:color w:val="000000" w:themeColor="text1"/>
          <w:highlight w:val="none"/>
          <w14:textFill>
            <w14:solidFill>
              <w14:schemeClr w14:val="tx1"/>
            </w14:solidFill>
          </w14:textFill>
        </w:rPr>
        <w:t>北京</w:t>
      </w:r>
      <w:r>
        <w:rPr>
          <w:rFonts w:hint="default" w:ascii="Times New Roman" w:hAnsi="Times New Roman" w:cs="Times New Roman"/>
          <w:color w:val="000000" w:themeColor="text1"/>
          <w:highlight w:val="none"/>
          <w14:textFill>
            <w14:solidFill>
              <w14:schemeClr w14:val="tx1"/>
            </w14:solidFill>
          </w14:textFill>
        </w:rPr>
        <w:t>市</w:t>
      </w:r>
      <w:r>
        <w:rPr>
          <w:rFonts w:ascii="Times New Roman" w:hAnsi="Times New Roman" w:cs="Times New Roman"/>
          <w:color w:val="000000" w:themeColor="text1"/>
          <w:highlight w:val="none"/>
          <w14:textFill>
            <w14:solidFill>
              <w14:schemeClr w14:val="tx1"/>
            </w14:solidFill>
          </w14:textFill>
        </w:rPr>
        <w:t>西城区西长安街86号</w:t>
      </w:r>
    </w:p>
    <w:p>
      <w:pPr>
        <w:pStyle w:val="10"/>
        <w:tabs>
          <w:tab w:val="left" w:pos="4528"/>
          <w:tab w:val="left" w:pos="8290"/>
        </w:tabs>
        <w:ind w:firstLine="420" w:firstLineChars="200"/>
        <w:jc w:val="both"/>
        <w:rPr>
          <w:rFonts w:ascii="Times New Roman" w:hAnsi="Times New Roman" w:cs="Times New Roman"/>
          <w:color w:val="000000" w:themeColor="text1"/>
          <w:highlight w:val="none"/>
          <w14:textFill>
            <w14:solidFill>
              <w14:schemeClr w14:val="tx1"/>
            </w14:solidFill>
          </w14:textFill>
        </w:rPr>
      </w:pPr>
    </w:p>
    <w:p>
      <w:pPr>
        <w:pStyle w:val="10"/>
        <w:tabs>
          <w:tab w:val="left" w:pos="4528"/>
          <w:tab w:val="left" w:pos="8290"/>
        </w:tabs>
        <w:ind w:firstLine="420" w:firstLineChars="200"/>
        <w:jc w:val="both"/>
        <w:rPr>
          <w:rFonts w:ascii="Times New Roman" w:hAnsi="Times New Roman" w:cs="Times New Roman"/>
          <w:color w:val="000000" w:themeColor="text1"/>
          <w:highlight w:val="none"/>
          <w14:textFill>
            <w14:solidFill>
              <w14:schemeClr w14:val="tx1"/>
            </w14:solidFill>
          </w14:textFill>
        </w:rPr>
      </w:pPr>
    </w:p>
    <w:p>
      <w:pPr>
        <w:pStyle w:val="5"/>
        <w:tabs>
          <w:tab w:val="left" w:pos="802"/>
        </w:tabs>
        <w:ind w:left="0" w:firstLine="0"/>
        <w:rPr>
          <w:rFonts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8.合规声明</w:t>
      </w:r>
    </w:p>
    <w:p>
      <w:pPr>
        <w:pStyle w:val="10"/>
        <w:tabs>
          <w:tab w:val="left" w:pos="4528"/>
          <w:tab w:val="left" w:pos="8290"/>
        </w:tabs>
        <w:ind w:firstLine="42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本招标文件（包括商务部分和技术部分）符合国家相关法律法规规定，若国家颁布新的法律法规或对原有法律法规进行调整，本招标文件将按照新颁布或调整的法律法规执行。</w:t>
      </w:r>
    </w:p>
    <w:p>
      <w:pPr>
        <w:pStyle w:val="10"/>
        <w:rPr>
          <w:rFonts w:ascii="Times New Roman" w:hAnsi="Times New Roman" w:cs="Times New Roman"/>
          <w:color w:val="000000" w:themeColor="text1"/>
          <w:sz w:val="28"/>
          <w:highlight w:val="none"/>
          <w14:textFill>
            <w14:solidFill>
              <w14:schemeClr w14:val="tx1"/>
            </w14:solidFill>
          </w14:textFill>
        </w:rPr>
      </w:pPr>
    </w:p>
    <w:p>
      <w:pPr>
        <w:jc w:val="right"/>
        <w:rPr>
          <w:rFonts w:ascii="Times New Roman" w:hAnsi="Times New Roman" w:cs="Times New Roman"/>
          <w:color w:val="000000" w:themeColor="text1"/>
          <w:sz w:val="2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2020年</w:t>
      </w:r>
      <w:r>
        <w:rPr>
          <w:rFonts w:hint="default" w:ascii="Times New Roman" w:hAnsi="Times New Roman" w:cs="Times New Roman"/>
          <w:color w:val="000000" w:themeColor="text1"/>
          <w:sz w:val="21"/>
          <w:highlight w:val="none"/>
          <w:lang w:val="en-US"/>
          <w14:textFill>
            <w14:solidFill>
              <w14:schemeClr w14:val="tx1"/>
            </w14:solidFill>
          </w14:textFill>
        </w:rPr>
        <w:t>9</w:t>
      </w:r>
      <w:r>
        <w:rPr>
          <w:rFonts w:ascii="Times New Roman" w:hAnsi="Times New Roman" w:cs="Times New Roman"/>
          <w:color w:val="000000" w:themeColor="text1"/>
          <w:sz w:val="21"/>
          <w:highlight w:val="none"/>
          <w14:textFill>
            <w14:solidFill>
              <w14:schemeClr w14:val="tx1"/>
            </w14:solidFill>
          </w14:textFill>
        </w:rPr>
        <w:t>月</w:t>
      </w:r>
    </w:p>
    <w:p>
      <w:pPr>
        <w:ind w:right="210"/>
        <w:jc w:val="right"/>
        <w:rPr>
          <w:rFonts w:ascii="Times New Roman" w:hAnsi="Times New Roman" w:cs="Times New Roman"/>
          <w:color w:val="000000" w:themeColor="text1"/>
          <w:sz w:val="21"/>
          <w:highlight w:val="none"/>
          <w14:textFill>
            <w14:solidFill>
              <w14:schemeClr w14:val="tx1"/>
            </w14:solidFill>
          </w14:textFill>
        </w:rPr>
      </w:pPr>
      <w:bookmarkStart w:id="7" w:name="_bookmark9"/>
      <w:bookmarkEnd w:id="7"/>
    </w:p>
    <w:p>
      <w:pPr>
        <w:widowControl/>
        <w:autoSpaceDE/>
        <w:autoSpaceDN/>
        <w:rPr>
          <w:rFonts w:ascii="Times New Roman" w:hAnsi="Times New Roman" w:cs="Times New Roman"/>
          <w:color w:val="000000" w:themeColor="text1"/>
          <w:sz w:val="18"/>
          <w:szCs w:val="2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华文新魏">
    <w:altName w:val="宋体"/>
    <w:panose1 w:val="02010800040101010101"/>
    <w:charset w:val="86"/>
    <w:family w:val="auto"/>
    <w:pitch w:val="default"/>
    <w:sig w:usb0="00000000" w:usb1="00000000" w:usb2="00000010" w:usb3="00000000" w:csb0="00040000" w:csb1="00000000"/>
  </w:font>
  <w:font w:name="E-F1">
    <w:altName w:val="Batang"/>
    <w:panose1 w:val="00000000000000000000"/>
    <w:charset w:val="81"/>
    <w:family w:val="roman"/>
    <w:pitch w:val="default"/>
    <w:sig w:usb0="00000000" w:usb1="00000000" w:usb2="00000033" w:usb3="00000000" w:csb0="0008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1661"/>
    <w:multiLevelType w:val="multilevel"/>
    <w:tmpl w:val="30491661"/>
    <w:lvl w:ilvl="0" w:tentative="0">
      <w:start w:val="1"/>
      <w:numFmt w:val="bullet"/>
      <w:lvlText w:val=""/>
      <w:lvlJc w:val="left"/>
      <w:pPr>
        <w:ind w:left="1128" w:hanging="420"/>
      </w:pPr>
      <w:rPr>
        <w:rFonts w:hint="default" w:ascii="Wingdings" w:hAnsi="Wingdings"/>
      </w:rPr>
    </w:lvl>
    <w:lvl w:ilvl="1" w:tentative="0">
      <w:start w:val="1"/>
      <w:numFmt w:val="bullet"/>
      <w:lvlText w:val=""/>
      <w:lvlJc w:val="left"/>
      <w:pPr>
        <w:ind w:left="1548" w:hanging="420"/>
      </w:pPr>
      <w:rPr>
        <w:rFonts w:hint="default" w:ascii="Wingdings" w:hAnsi="Wingdings"/>
      </w:rPr>
    </w:lvl>
    <w:lvl w:ilvl="2" w:tentative="0">
      <w:start w:val="1"/>
      <w:numFmt w:val="bullet"/>
      <w:lvlText w:val=""/>
      <w:lvlJc w:val="left"/>
      <w:pPr>
        <w:ind w:left="1968" w:hanging="420"/>
      </w:pPr>
      <w:rPr>
        <w:rFonts w:hint="default" w:ascii="Wingdings" w:hAnsi="Wingdings"/>
      </w:rPr>
    </w:lvl>
    <w:lvl w:ilvl="3" w:tentative="0">
      <w:start w:val="1"/>
      <w:numFmt w:val="bullet"/>
      <w:lvlText w:val=""/>
      <w:lvlJc w:val="left"/>
      <w:pPr>
        <w:ind w:left="2388" w:hanging="420"/>
      </w:pPr>
      <w:rPr>
        <w:rFonts w:hint="default" w:ascii="Wingdings" w:hAnsi="Wingdings"/>
      </w:rPr>
    </w:lvl>
    <w:lvl w:ilvl="4" w:tentative="0">
      <w:start w:val="1"/>
      <w:numFmt w:val="bullet"/>
      <w:lvlText w:val=""/>
      <w:lvlJc w:val="left"/>
      <w:pPr>
        <w:ind w:left="2808" w:hanging="420"/>
      </w:pPr>
      <w:rPr>
        <w:rFonts w:hint="default" w:ascii="Wingdings" w:hAnsi="Wingdings"/>
      </w:rPr>
    </w:lvl>
    <w:lvl w:ilvl="5" w:tentative="0">
      <w:start w:val="1"/>
      <w:numFmt w:val="bullet"/>
      <w:lvlText w:val=""/>
      <w:lvlJc w:val="left"/>
      <w:pPr>
        <w:ind w:left="3228" w:hanging="420"/>
      </w:pPr>
      <w:rPr>
        <w:rFonts w:hint="default" w:ascii="Wingdings" w:hAnsi="Wingdings"/>
      </w:rPr>
    </w:lvl>
    <w:lvl w:ilvl="6" w:tentative="0">
      <w:start w:val="1"/>
      <w:numFmt w:val="bullet"/>
      <w:lvlText w:val=""/>
      <w:lvlJc w:val="left"/>
      <w:pPr>
        <w:ind w:left="3648" w:hanging="420"/>
      </w:pPr>
      <w:rPr>
        <w:rFonts w:hint="default" w:ascii="Wingdings" w:hAnsi="Wingdings"/>
      </w:rPr>
    </w:lvl>
    <w:lvl w:ilvl="7" w:tentative="0">
      <w:start w:val="1"/>
      <w:numFmt w:val="bullet"/>
      <w:lvlText w:val=""/>
      <w:lvlJc w:val="left"/>
      <w:pPr>
        <w:ind w:left="4068" w:hanging="420"/>
      </w:pPr>
      <w:rPr>
        <w:rFonts w:hint="default" w:ascii="Wingdings" w:hAnsi="Wingdings"/>
      </w:rPr>
    </w:lvl>
    <w:lvl w:ilvl="8" w:tentative="0">
      <w:start w:val="1"/>
      <w:numFmt w:val="bullet"/>
      <w:lvlText w:val=""/>
      <w:lvlJc w:val="left"/>
      <w:pPr>
        <w:ind w:left="4488"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63"/>
    <w:rsid w:val="00006E16"/>
    <w:rsid w:val="000123E7"/>
    <w:rsid w:val="000524D4"/>
    <w:rsid w:val="000807C4"/>
    <w:rsid w:val="000B795E"/>
    <w:rsid w:val="00105D00"/>
    <w:rsid w:val="0014108E"/>
    <w:rsid w:val="001A2215"/>
    <w:rsid w:val="001C12E1"/>
    <w:rsid w:val="001E6D76"/>
    <w:rsid w:val="00206379"/>
    <w:rsid w:val="002422F9"/>
    <w:rsid w:val="00242DCB"/>
    <w:rsid w:val="00354FB6"/>
    <w:rsid w:val="00373F49"/>
    <w:rsid w:val="003859CF"/>
    <w:rsid w:val="003D2C30"/>
    <w:rsid w:val="00416A7D"/>
    <w:rsid w:val="00467D53"/>
    <w:rsid w:val="00491AAC"/>
    <w:rsid w:val="004D54F2"/>
    <w:rsid w:val="004D5EC7"/>
    <w:rsid w:val="00504221"/>
    <w:rsid w:val="00531957"/>
    <w:rsid w:val="00546E1D"/>
    <w:rsid w:val="00597277"/>
    <w:rsid w:val="005A6F13"/>
    <w:rsid w:val="0063399B"/>
    <w:rsid w:val="006378B7"/>
    <w:rsid w:val="00666600"/>
    <w:rsid w:val="00685445"/>
    <w:rsid w:val="006C65D4"/>
    <w:rsid w:val="00741C77"/>
    <w:rsid w:val="007428D0"/>
    <w:rsid w:val="007639EE"/>
    <w:rsid w:val="00764010"/>
    <w:rsid w:val="007C7467"/>
    <w:rsid w:val="007E293A"/>
    <w:rsid w:val="00842EE9"/>
    <w:rsid w:val="0087721B"/>
    <w:rsid w:val="008929F7"/>
    <w:rsid w:val="008B4C87"/>
    <w:rsid w:val="009130EA"/>
    <w:rsid w:val="009A2009"/>
    <w:rsid w:val="009A2396"/>
    <w:rsid w:val="009D1876"/>
    <w:rsid w:val="009E4430"/>
    <w:rsid w:val="009F3088"/>
    <w:rsid w:val="00A64353"/>
    <w:rsid w:val="00A67529"/>
    <w:rsid w:val="00A85AB7"/>
    <w:rsid w:val="00AC122C"/>
    <w:rsid w:val="00AE00FB"/>
    <w:rsid w:val="00B63D4A"/>
    <w:rsid w:val="00B63E47"/>
    <w:rsid w:val="00BE64F4"/>
    <w:rsid w:val="00BF75BA"/>
    <w:rsid w:val="00C13926"/>
    <w:rsid w:val="00C1524A"/>
    <w:rsid w:val="00C53CD3"/>
    <w:rsid w:val="00C71579"/>
    <w:rsid w:val="00D46263"/>
    <w:rsid w:val="00D53819"/>
    <w:rsid w:val="00D60CAE"/>
    <w:rsid w:val="00D77F3E"/>
    <w:rsid w:val="00D81486"/>
    <w:rsid w:val="00E06218"/>
    <w:rsid w:val="00E12CF8"/>
    <w:rsid w:val="00E31D03"/>
    <w:rsid w:val="00E73E05"/>
    <w:rsid w:val="00ED6427"/>
    <w:rsid w:val="00EE5F56"/>
    <w:rsid w:val="00EF40E7"/>
    <w:rsid w:val="00F606E6"/>
    <w:rsid w:val="00F85D3C"/>
    <w:rsid w:val="00F87CFB"/>
    <w:rsid w:val="00FC58AF"/>
    <w:rsid w:val="00FD47D7"/>
    <w:rsid w:val="04692A10"/>
    <w:rsid w:val="06E955BC"/>
    <w:rsid w:val="086976D7"/>
    <w:rsid w:val="08900A4B"/>
    <w:rsid w:val="0A4F7A46"/>
    <w:rsid w:val="0CC837F1"/>
    <w:rsid w:val="0EEF13B5"/>
    <w:rsid w:val="116C74CC"/>
    <w:rsid w:val="14601A07"/>
    <w:rsid w:val="14834684"/>
    <w:rsid w:val="1733723C"/>
    <w:rsid w:val="1A571CFF"/>
    <w:rsid w:val="1B713280"/>
    <w:rsid w:val="1C2175B3"/>
    <w:rsid w:val="1F0A6018"/>
    <w:rsid w:val="1F425AA4"/>
    <w:rsid w:val="207B447F"/>
    <w:rsid w:val="20F60E3E"/>
    <w:rsid w:val="284D4563"/>
    <w:rsid w:val="286249D7"/>
    <w:rsid w:val="29A00675"/>
    <w:rsid w:val="2A5C7737"/>
    <w:rsid w:val="2AB42753"/>
    <w:rsid w:val="2F1B0C8E"/>
    <w:rsid w:val="343C7182"/>
    <w:rsid w:val="34A012D8"/>
    <w:rsid w:val="34C777B6"/>
    <w:rsid w:val="382009FF"/>
    <w:rsid w:val="3A321BE1"/>
    <w:rsid w:val="3CF920D2"/>
    <w:rsid w:val="3DDC6BAD"/>
    <w:rsid w:val="3E0369EB"/>
    <w:rsid w:val="44292A77"/>
    <w:rsid w:val="446315E3"/>
    <w:rsid w:val="44A84E23"/>
    <w:rsid w:val="45842272"/>
    <w:rsid w:val="45AE7DD6"/>
    <w:rsid w:val="4783342E"/>
    <w:rsid w:val="48884A6E"/>
    <w:rsid w:val="4A335660"/>
    <w:rsid w:val="4AD631B4"/>
    <w:rsid w:val="4E1E6740"/>
    <w:rsid w:val="4E7377FE"/>
    <w:rsid w:val="518C32B5"/>
    <w:rsid w:val="531F745D"/>
    <w:rsid w:val="535E66BE"/>
    <w:rsid w:val="558763CA"/>
    <w:rsid w:val="55C350BC"/>
    <w:rsid w:val="58EA2B59"/>
    <w:rsid w:val="596328E9"/>
    <w:rsid w:val="5CDB5A40"/>
    <w:rsid w:val="5F084548"/>
    <w:rsid w:val="5FAA5955"/>
    <w:rsid w:val="606D563E"/>
    <w:rsid w:val="6432729C"/>
    <w:rsid w:val="672A5279"/>
    <w:rsid w:val="675576DB"/>
    <w:rsid w:val="692645B7"/>
    <w:rsid w:val="6AB511B2"/>
    <w:rsid w:val="6BAE10C6"/>
    <w:rsid w:val="6C1F45DA"/>
    <w:rsid w:val="6CC479C2"/>
    <w:rsid w:val="6EC87073"/>
    <w:rsid w:val="6F7313EE"/>
    <w:rsid w:val="72F244DE"/>
    <w:rsid w:val="75421CD8"/>
    <w:rsid w:val="79893D1B"/>
    <w:rsid w:val="79ED622C"/>
    <w:rsid w:val="7BD06550"/>
    <w:rsid w:val="7E5F52B0"/>
    <w:rsid w:val="7EDD125C"/>
    <w:rsid w:val="7FB2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9"/>
    <w:pPr>
      <w:spacing w:beforeAutospacing="1" w:afterAutospacing="1"/>
      <w:outlineLvl w:val="0"/>
    </w:pPr>
    <w:rPr>
      <w:rFonts w:hint="eastAsia" w:cs="Times New Roman"/>
      <w:b/>
      <w:kern w:val="44"/>
      <w:sz w:val="48"/>
      <w:szCs w:val="48"/>
      <w:lang w:val="en-US" w:bidi="ar-SA"/>
    </w:rPr>
  </w:style>
  <w:style w:type="paragraph" w:styleId="5">
    <w:name w:val="heading 2"/>
    <w:basedOn w:val="1"/>
    <w:next w:val="1"/>
    <w:link w:val="23"/>
    <w:qFormat/>
    <w:uiPriority w:val="99"/>
    <w:pPr>
      <w:ind w:left="801" w:hanging="401"/>
      <w:outlineLvl w:val="1"/>
    </w:pPr>
    <w:rPr>
      <w:rFonts w:ascii="Microsoft JhengHei" w:hAnsi="Microsoft JhengHei" w:eastAsia="Microsoft JhengHei" w:cs="Microsoft JhengHei"/>
      <w:b/>
      <w:bCs/>
      <w:sz w:val="32"/>
      <w:szCs w:val="32"/>
    </w:rPr>
  </w:style>
  <w:style w:type="paragraph" w:styleId="6">
    <w:name w:val="heading 3"/>
    <w:basedOn w:val="1"/>
    <w:next w:val="1"/>
    <w:qFormat/>
    <w:uiPriority w:val="0"/>
    <w:pPr>
      <w:ind w:left="1026" w:hanging="489"/>
      <w:outlineLvl w:val="2"/>
    </w:pPr>
    <w:rPr>
      <w:sz w:val="28"/>
      <w:szCs w:val="28"/>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left="901" w:leftChars="429" w:firstLine="420"/>
    </w:pPr>
    <w:rPr>
      <w:rFonts w:ascii="华文新魏" w:eastAsia="华文新魏"/>
    </w:rPr>
  </w:style>
  <w:style w:type="paragraph" w:styleId="3">
    <w:name w:val="Body Text Indent"/>
    <w:basedOn w:val="1"/>
    <w:qFormat/>
    <w:uiPriority w:val="0"/>
    <w:pPr>
      <w:spacing w:line="400" w:lineRule="exact"/>
      <w:ind w:firstLine="570"/>
    </w:pPr>
    <w:rPr>
      <w:sz w:val="24"/>
    </w:rPr>
  </w:style>
  <w:style w:type="paragraph" w:styleId="7">
    <w:name w:val="annotation subject"/>
    <w:basedOn w:val="8"/>
    <w:next w:val="8"/>
    <w:link w:val="36"/>
    <w:semiHidden/>
    <w:unhideWhenUsed/>
    <w:qFormat/>
    <w:uiPriority w:val="99"/>
    <w:rPr>
      <w:b/>
      <w:bCs/>
    </w:rPr>
  </w:style>
  <w:style w:type="paragraph" w:styleId="8">
    <w:name w:val="annotation text"/>
    <w:basedOn w:val="1"/>
    <w:link w:val="35"/>
    <w:unhideWhenUsed/>
    <w:qFormat/>
    <w:uiPriority w:val="99"/>
  </w:style>
  <w:style w:type="paragraph" w:styleId="9">
    <w:name w:val="Salutation"/>
    <w:basedOn w:val="1"/>
    <w:next w:val="1"/>
    <w:link w:val="40"/>
    <w:qFormat/>
    <w:uiPriority w:val="0"/>
    <w:pPr>
      <w:autoSpaceDE/>
      <w:autoSpaceDN/>
      <w:jc w:val="both"/>
    </w:pPr>
    <w:rPr>
      <w:rFonts w:ascii="Times New Roman" w:hAnsi="Times New Roman" w:cs="Times New Roman"/>
      <w:kern w:val="2"/>
      <w:sz w:val="21"/>
      <w:szCs w:val="24"/>
      <w:lang w:val="en-US" w:bidi="ar-SA"/>
    </w:rPr>
  </w:style>
  <w:style w:type="paragraph" w:styleId="10">
    <w:name w:val="Body Text"/>
    <w:basedOn w:val="1"/>
    <w:link w:val="24"/>
    <w:qFormat/>
    <w:uiPriority w:val="0"/>
    <w:rPr>
      <w:sz w:val="21"/>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autoSpaceDE/>
      <w:autoSpaceDN/>
      <w:spacing w:before="100" w:beforeAutospacing="1" w:after="100" w:afterAutospacing="1"/>
    </w:pPr>
    <w:rPr>
      <w:sz w:val="24"/>
      <w:szCs w:val="24"/>
      <w:lang w:val="en-US" w:bidi="ar-SA"/>
    </w:rPr>
  </w:style>
  <w:style w:type="paragraph" w:styleId="15">
    <w:name w:val="Title"/>
    <w:basedOn w:val="1"/>
    <w:qFormat/>
    <w:uiPriority w:val="0"/>
    <w:pPr>
      <w:autoSpaceDE/>
      <w:autoSpaceDN/>
      <w:spacing w:before="240" w:after="60"/>
      <w:jc w:val="center"/>
      <w:outlineLvl w:val="0"/>
    </w:pPr>
    <w:rPr>
      <w:rFonts w:ascii="Arial" w:hAnsi="Arial" w:cs="Times New Roman"/>
      <w:b/>
      <w:bCs/>
      <w:kern w:val="2"/>
      <w:sz w:val="32"/>
      <w:szCs w:val="32"/>
      <w:lang w:val="en-US" w:bidi="ar-SA"/>
    </w:rPr>
  </w:style>
  <w:style w:type="character" w:styleId="17">
    <w:name w:val="Hyperlink"/>
    <w:qFormat/>
    <w:uiPriority w:val="99"/>
    <w:rPr>
      <w:color w:val="0000FF"/>
      <w:u w:val="single"/>
    </w:rPr>
  </w:style>
  <w:style w:type="character" w:styleId="18">
    <w:name w:val="annotation reference"/>
    <w:unhideWhenUsed/>
    <w:qFormat/>
    <w:uiPriority w:val="99"/>
    <w:rPr>
      <w:sz w:val="21"/>
      <w:szCs w:val="21"/>
    </w:rPr>
  </w:style>
  <w:style w:type="table" w:styleId="20">
    <w:name w:val="Table Grid"/>
    <w:basedOn w:val="19"/>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99"/>
    <w:rPr>
      <w:rFonts w:ascii="Microsoft JhengHei" w:hAnsi="Microsoft JhengHei" w:eastAsia="Microsoft JhengHei" w:cs="Microsoft JhengHei"/>
      <w:b/>
      <w:bCs/>
      <w:kern w:val="0"/>
      <w:sz w:val="32"/>
      <w:szCs w:val="32"/>
      <w:lang w:val="zh-CN" w:bidi="zh-CN"/>
    </w:rPr>
  </w:style>
  <w:style w:type="character" w:customStyle="1" w:styleId="24">
    <w:name w:val="正文文本 Char"/>
    <w:basedOn w:val="16"/>
    <w:link w:val="10"/>
    <w:qFormat/>
    <w:uiPriority w:val="0"/>
    <w:rPr>
      <w:rFonts w:ascii="宋体" w:hAnsi="宋体" w:eastAsia="宋体" w:cs="宋体"/>
      <w:kern w:val="0"/>
      <w:szCs w:val="21"/>
      <w:lang w:val="zh-CN" w:bidi="zh-CN"/>
    </w:rPr>
  </w:style>
  <w:style w:type="paragraph" w:styleId="25">
    <w:name w:val="List Paragraph"/>
    <w:basedOn w:val="1"/>
    <w:qFormat/>
    <w:uiPriority w:val="0"/>
    <w:pPr>
      <w:ind w:left="400" w:firstLine="420"/>
    </w:pPr>
  </w:style>
  <w:style w:type="paragraph" w:customStyle="1" w:styleId="26">
    <w:name w:val="Table Paragraph"/>
    <w:basedOn w:val="1"/>
    <w:qFormat/>
    <w:uiPriority w:val="1"/>
  </w:style>
  <w:style w:type="table" w:customStyle="1" w:styleId="27">
    <w:name w:val="Table Normal"/>
    <w:unhideWhenUsed/>
    <w:qFormat/>
    <w:uiPriority w:val="2"/>
    <w:tblPr>
      <w:tblLayout w:type="fixed"/>
      <w:tblCellMar>
        <w:top w:w="0" w:type="dxa"/>
        <w:left w:w="0" w:type="dxa"/>
        <w:bottom w:w="0" w:type="dxa"/>
        <w:right w:w="0" w:type="dxa"/>
      </w:tblCellMar>
    </w:tblPr>
  </w:style>
  <w:style w:type="paragraph" w:customStyle="1" w:styleId="28">
    <w:name w:val="无间隔1"/>
    <w:qFormat/>
    <w:uiPriority w:val="1"/>
    <w:rPr>
      <w:rFonts w:ascii="Calibri" w:hAnsi="Calibri" w:eastAsia="宋体" w:cs="Times New Roman"/>
      <w:sz w:val="22"/>
      <w:szCs w:val="22"/>
      <w:lang w:val="en-US" w:eastAsia="zh-CN" w:bidi="ar-SA"/>
    </w:rPr>
  </w:style>
  <w:style w:type="paragraph" w:customStyle="1" w:styleId="29">
    <w:name w:val="样式1"/>
    <w:basedOn w:val="1"/>
    <w:qFormat/>
    <w:uiPriority w:val="0"/>
    <w:pPr>
      <w:autoSpaceDE/>
      <w:autoSpaceDN/>
      <w:jc w:val="both"/>
    </w:pPr>
    <w:rPr>
      <w:rFonts w:ascii="Times New Roman" w:hAnsi="Times New Roman" w:cs="Times New Roman"/>
      <w:kern w:val="2"/>
      <w:sz w:val="28"/>
      <w:szCs w:val="24"/>
      <w:lang w:val="en-US" w:bidi="ar-SA"/>
    </w:rPr>
  </w:style>
  <w:style w:type="paragraph" w:customStyle="1" w:styleId="30">
    <w:name w:val="列出段落1"/>
    <w:basedOn w:val="1"/>
    <w:qFormat/>
    <w:uiPriority w:val="99"/>
    <w:pPr>
      <w:autoSpaceDE/>
      <w:autoSpaceDN/>
      <w:ind w:firstLine="420" w:firstLineChars="200"/>
      <w:jc w:val="both"/>
    </w:pPr>
    <w:rPr>
      <w:rFonts w:ascii="Calibri" w:hAnsi="Calibri" w:cs="Times New Roman"/>
      <w:kern w:val="2"/>
      <w:sz w:val="21"/>
      <w:szCs w:val="20"/>
      <w:lang w:val="en-US" w:bidi="ar-SA"/>
    </w:rPr>
  </w:style>
  <w:style w:type="character" w:customStyle="1" w:styleId="31">
    <w:name w:val="font31"/>
    <w:basedOn w:val="16"/>
    <w:qFormat/>
    <w:uiPriority w:val="0"/>
    <w:rPr>
      <w:rFonts w:hint="eastAsia" w:ascii="宋体" w:hAnsi="宋体" w:eastAsia="宋体" w:cs="宋体"/>
      <w:color w:val="000000"/>
      <w:sz w:val="20"/>
      <w:szCs w:val="20"/>
      <w:u w:val="none"/>
    </w:rPr>
  </w:style>
  <w:style w:type="character" w:customStyle="1" w:styleId="32">
    <w:name w:val="font21"/>
    <w:basedOn w:val="16"/>
    <w:qFormat/>
    <w:uiPriority w:val="0"/>
    <w:rPr>
      <w:rFonts w:hint="eastAsia" w:ascii="宋体" w:hAnsi="宋体" w:eastAsia="宋体" w:cs="宋体"/>
      <w:color w:val="000000"/>
      <w:sz w:val="20"/>
      <w:szCs w:val="20"/>
      <w:u w:val="none"/>
    </w:rPr>
  </w:style>
  <w:style w:type="character" w:customStyle="1" w:styleId="33">
    <w:name w:val="font61"/>
    <w:basedOn w:val="16"/>
    <w:qFormat/>
    <w:uiPriority w:val="0"/>
    <w:rPr>
      <w:rFonts w:hint="default" w:ascii="Arial" w:hAnsi="Arial" w:cs="Arial"/>
      <w:color w:val="000000"/>
      <w:sz w:val="22"/>
      <w:szCs w:val="22"/>
      <w:u w:val="none"/>
    </w:rPr>
  </w:style>
  <w:style w:type="character" w:customStyle="1" w:styleId="34">
    <w:name w:val="批注框文本 Char"/>
    <w:basedOn w:val="16"/>
    <w:link w:val="11"/>
    <w:semiHidden/>
    <w:qFormat/>
    <w:uiPriority w:val="99"/>
    <w:rPr>
      <w:rFonts w:ascii="宋体" w:hAnsi="宋体" w:eastAsia="宋体" w:cs="宋体"/>
      <w:sz w:val="18"/>
      <w:szCs w:val="18"/>
      <w:lang w:val="zh-CN" w:bidi="zh-CN"/>
    </w:rPr>
  </w:style>
  <w:style w:type="character" w:customStyle="1" w:styleId="35">
    <w:name w:val="批注文字 Char"/>
    <w:basedOn w:val="16"/>
    <w:link w:val="8"/>
    <w:qFormat/>
    <w:uiPriority w:val="99"/>
    <w:rPr>
      <w:rFonts w:ascii="宋体" w:hAnsi="宋体" w:eastAsia="宋体" w:cs="宋体"/>
      <w:sz w:val="22"/>
      <w:szCs w:val="22"/>
      <w:lang w:val="zh-CN" w:bidi="zh-CN"/>
    </w:rPr>
  </w:style>
  <w:style w:type="character" w:customStyle="1" w:styleId="36">
    <w:name w:val="批注主题 Char"/>
    <w:basedOn w:val="35"/>
    <w:link w:val="7"/>
    <w:semiHidden/>
    <w:qFormat/>
    <w:uiPriority w:val="99"/>
    <w:rPr>
      <w:rFonts w:ascii="宋体" w:hAnsi="宋体" w:eastAsia="宋体" w:cs="宋体"/>
      <w:b/>
      <w:bCs/>
      <w:sz w:val="22"/>
      <w:szCs w:val="22"/>
      <w:lang w:val="zh-CN" w:bidi="zh-CN"/>
    </w:rPr>
  </w:style>
  <w:style w:type="paragraph" w:customStyle="1" w:styleId="37">
    <w:name w:val="Revision"/>
    <w:hidden/>
    <w:semiHidden/>
    <w:qFormat/>
    <w:uiPriority w:val="99"/>
    <w:rPr>
      <w:rFonts w:ascii="宋体" w:hAnsi="宋体" w:eastAsia="宋体" w:cs="宋体"/>
      <w:sz w:val="22"/>
      <w:szCs w:val="22"/>
      <w:lang w:val="zh-CN" w:eastAsia="zh-CN" w:bidi="zh-CN"/>
    </w:rPr>
  </w:style>
  <w:style w:type="paragraph" w:customStyle="1" w:styleId="38">
    <w:name w:val="B"/>
    <w:basedOn w:val="1"/>
    <w:link w:val="39"/>
    <w:qFormat/>
    <w:uiPriority w:val="0"/>
    <w:pPr>
      <w:tabs>
        <w:tab w:val="center" w:pos="4706"/>
        <w:tab w:val="right" w:pos="9044"/>
      </w:tabs>
      <w:topLinePunct/>
      <w:autoSpaceDE/>
      <w:autoSpaceDN/>
      <w:spacing w:before="160" w:after="60" w:line="312" w:lineRule="exact"/>
      <w:ind w:firstLine="200" w:firstLineChars="200"/>
      <w:jc w:val="center"/>
    </w:pPr>
    <w:rPr>
      <w:rFonts w:ascii="E-F1" w:hAnsi="Times New Roman" w:eastAsia="黑体" w:cs="Times New Roman"/>
      <w:sz w:val="20"/>
      <w:szCs w:val="21"/>
      <w:lang w:val="en-US" w:bidi="ar-SA"/>
    </w:rPr>
  </w:style>
  <w:style w:type="character" w:customStyle="1" w:styleId="39">
    <w:name w:val="B Char"/>
    <w:link w:val="38"/>
    <w:qFormat/>
    <w:uiPriority w:val="0"/>
    <w:rPr>
      <w:rFonts w:ascii="E-F1" w:hAnsi="Times New Roman" w:eastAsia="黑体" w:cs="Times New Roman"/>
      <w:szCs w:val="21"/>
    </w:rPr>
  </w:style>
  <w:style w:type="character" w:customStyle="1" w:styleId="40">
    <w:name w:val="称呼 Char"/>
    <w:basedOn w:val="16"/>
    <w:link w:val="9"/>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399E3-DC4C-4C66-B57C-384E640F704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13613</Words>
  <Characters>77599</Characters>
  <Lines>646</Lines>
  <Paragraphs>182</Paragraphs>
  <TotalTime>7</TotalTime>
  <ScaleCrop>false</ScaleCrop>
  <LinksUpToDate>false</LinksUpToDate>
  <CharactersWithSpaces>91030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2020-04-17T08:29:00Z</dcterms:created>
  <dc:creator>sgm</dc:creator>
  <cp:lastModifiedBy>Administrator</cp:lastModifiedBy>
  <dcterms:modified xsi:type="dcterms:W3CDTF">2020-09-21T10:05:00Z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